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600"/>
        <w:jc w:val="center"/>
      </w:pPr>
      <w:r>
        <w:rPr>
          <w:rFonts w:ascii="Calibri" w:cs="Calibri" w:eastAsia="Calibri" w:hAnsi="Calibri"/>
          <w:b/>
          <w:bCs/>
          <w:color w:val="1b2a4a"/>
          <w:sz w:val="52"/>
          <w:szCs w:val="52"/>
        </w:rPr>
        <w:t xml:space="preserve">FORENSIC AUDIT REPORT</w:t>
      </w:r>
    </w:p>
    <w:p>
      <w:pPr>
        <w:spacing w:after="500" w:before="200"/>
        <w:jc w:val="center"/>
      </w:pPr>
      <w:r>
        <w:rPr>
          <w:rFonts w:ascii="Calibri" w:cs="Calibri" w:eastAsia="Calibri" w:hAnsi="Calibri"/>
          <w:b/>
          <w:bCs/>
          <w:color w:val="a4292c"/>
          <w:sz w:val="30"/>
          <w:szCs w:val="30"/>
        </w:rPr>
        <w:t xml:space="preserve">Flock Safety ALPR Search-Log Review</w:t>
      </w:r>
    </w:p>
    <w:p>
      <w:pPr>
        <w:spacing w:after="80"/>
        <w:jc w:val="center"/>
      </w:pPr>
      <w:r>
        <w:rPr>
          <w:rFonts w:ascii="Calibri" w:cs="Calibri" w:eastAsia="Calibri" w:hAnsi="Calibri"/>
          <w:b/>
          <w:bCs/>
          <w:sz w:val="24"/>
          <w:szCs w:val="24"/>
        </w:rPr>
        <w:t xml:space="preserve">Bibb County Sheriff’s Office, Georgia</w:t>
      </w:r>
    </w:p>
    <w:p>
      <w:pPr>
        <w:spacing w:after="80"/>
        <w:jc w:val="center"/>
      </w:pPr>
      <w:r>
        <w:rPr>
          <w:rFonts w:ascii="Calibri" w:cs="Calibri" w:eastAsia="Calibri" w:hAnsi="Calibri"/>
          <w:color w:val="333333"/>
          <w:sz w:val="22"/>
          <w:szCs w:val="22"/>
        </w:rPr>
        <w:t xml:space="preserve">Audit Period: May 1, 2026 – June 1, 2026 (UTC)</w:t>
      </w:r>
    </w:p>
    <w:p>
      <w:pPr>
        <w:spacing w:after="80"/>
        <w:jc w:val="center"/>
      </w:pPr>
      <w:r>
        <w:rPr>
          <w:rFonts w:ascii="Calibri" w:cs="Calibri" w:eastAsia="Calibri" w:hAnsi="Calibri"/>
          <w:color w:val="333333"/>
          <w:sz w:val="22"/>
          <w:szCs w:val="22"/>
        </w:rPr>
        <w:t xml:space="preserve">Records Reviewed: 3,663  |  Users Reviewed: 63</w:t>
      </w:r>
    </w:p>
    <w:p>
      <w:pPr>
        <w:spacing w:after="40" w:before="600"/>
        <w:jc w:val="center"/>
      </w:pPr>
      <w:r>
        <w:rPr>
          <w:rFonts w:ascii="Calibri" w:cs="Calibri" w:eastAsia="Calibri" w:hAnsi="Calibri"/>
          <w:i/>
          <w:iCs/>
          <w:color w:val="6b7280"/>
          <w:sz w:val="20"/>
          <w:szCs w:val="20"/>
        </w:rPr>
        <w:t xml:space="preserve">Prepared: July 22, 2026</w:t>
      </w:r>
    </w:p>
    <w:p>
      <w:pPr>
        <w:spacing w:after="900"/>
        <w:jc w:val="center"/>
      </w:pPr>
      <w:r>
        <w:rPr>
          <w:rFonts w:ascii="Calibri" w:cs="Calibri" w:eastAsia="Calibri" w:hAnsi="Calibri"/>
          <w:i/>
          <w:iCs/>
          <w:color w:val="6b7280"/>
          <w:sz w:val="20"/>
          <w:szCs w:val="20"/>
        </w:rPr>
        <w:t xml:space="preserve">Source: agency-exported Flock Safety search-audit log (CSV)</w:t>
      </w:r>
    </w:p>
    <w:p>
      <w:pPr>
        <w:pBdr>
          <w:top w:val="single" w:color="b5892a" w:sz="6"/>
        </w:pBdr>
        <w:spacing w:before="200"/>
        <w:jc w:val="center"/>
      </w:pPr>
    </w:p>
    <w:p>
      <w:pPr>
        <w:spacing w:after="0" w:before="200"/>
        <w:jc w:val="center"/>
      </w:pPr>
      <w:r>
        <w:rPr>
          <w:rFonts w:ascii="Calibri" w:cs="Calibri" w:eastAsia="Calibri" w:hAnsi="Calibri"/>
          <w:b/>
          <w:bCs/>
          <w:color w:val="a4292c"/>
          <w:sz w:val="18"/>
          <w:szCs w:val="18"/>
        </w:rPr>
        <w:t xml:space="preserve">CONFIDENTIAL — PREPARED FOR OVERSIGHT / RECORDS-COMPLIANCE REVIEW</w:t>
      </w:r>
    </w:p>
    <w:p>
      <w:pPr>
        <w:jc w:val="center"/>
      </w:pPr>
      <w:r>
        <w:rPr>
          <w:rFonts w:ascii="Calibri" w:cs="Calibri" w:eastAsia="Calibri" w:hAnsi="Calibri"/>
          <w:i/>
          <w:iCs/>
          <w:color w:val="6b7280"/>
          <w:sz w:val="16"/>
          <w:szCs w:val="16"/>
        </w:rPr>
        <w:t xml:space="preserve">Contains law-enforcement personnel names and search activity. Handle per agency records policy.</w:t>
      </w:r>
    </w:p>
    <w:p>
      <w:r>
        <w:br w:type="page"/>
      </w:r>
    </w:p>
    <w:p>
      <w:pPr>
        <w:sectPr>
          <w:pgSz w:w="12240" w:h="15840" w:orient="portrait"/>
          <w:pgMar w:top="1080" w:right="1080" w:bottom="1080" w:left="1080" w:header="708" w:footer="708" w:gutter="0"/>
          <w:pgNumType/>
          <w:docGrid w:linePitch="360"/>
        </w:sectPr>
      </w:pPr>
    </w:p>
    <w:p>
      <w:pPr>
        <w:pStyle w:val="Heading1"/>
        <w:spacing w:after="200" w:before="420"/>
      </w:pPr>
      <w:r>
        <w:rPr>
          <w:rFonts w:ascii="Calibri" w:cs="Calibri" w:eastAsia="Calibri" w:hAnsi="Calibri"/>
          <w:b/>
          <w:bCs/>
          <w:color w:val="1b2a4a"/>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200" w:before="420"/>
      </w:pPr>
      <w:r>
        <w:rPr>
          <w:rFonts w:ascii="Calibri" w:cs="Calibri" w:eastAsia="Calibri" w:hAnsi="Calibri"/>
          <w:b/>
          <w:bCs/>
          <w:color w:val="1b2a4a"/>
        </w:rPr>
        <w:t xml:space="preserve">1. Executive Summary</w:t>
      </w:r>
    </w:p>
    <w:p>
      <w:pPr>
        <w:spacing w:after="160" w:before="0"/>
      </w:pPr>
      <w:r>
        <w:rPr>
          <w:rFonts w:ascii="Calibri" w:cs="Calibri" w:eastAsia="Calibri" w:hAnsi="Calibri"/>
          <w:sz w:val="21"/>
          <w:szCs w:val="21"/>
        </w:rPr>
        <w:t xml:space="preserve">This report presents an independent forensic review of Flock Safety Automated License Plate Reader (ALPR) search activity conducted by personnel of the Bibb County Sheriff’s Office ("BCSO" or "the agency") during the period of May 1, 2026 through June 1, 2026 (UTC). The review is based on a system-exported audit log containing 3,663 individual search-log entries generated by 63 distinct user accounts.</w:t>
      </w:r>
    </w:p>
    <w:p>
      <w:pPr>
        <w:spacing w:after="160" w:before="0"/>
      </w:pPr>
      <w:r>
        <w:rPr>
          <w:rFonts w:ascii="Calibri" w:cs="Calibri" w:eastAsia="Calibri" w:hAnsi="Calibri"/>
          <w:sz w:val="21"/>
          <w:szCs w:val="21"/>
        </w:rPr>
        <w:t xml:space="preserve">The purpose of this audit is to evaluate the agency’s compliance with baseline recordkeeping expectations for ALPR use — principally, that every search be tied to an articulable, correctly-recorded case or incident number — and to surface usage patterns (search volume concentration, time-of-day clustering, and repeated/bursty lookup activity) that warrant supervisory attention.</w:t>
      </w:r>
    </w:p>
    <w:p>
      <w:pPr>
        <w:pStyle w:val="Heading2"/>
        <w:spacing w:after="160" w:before="300"/>
      </w:pPr>
      <w:r>
        <w:rPr>
          <w:rFonts w:ascii="Calibri" w:cs="Calibri" w:eastAsia="Calibri" w:hAnsi="Calibri"/>
          <w:b/>
          <w:bCs/>
          <w:color w:val="1b2a4a"/>
        </w:rPr>
        <w:t xml:space="preserve">Key Findings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single" w:color="C9CFDB" w:sz="2"/>
              <w:left w:val="single" w:color="C9CFDB" w:sz="2"/>
              <w:bottom w:val="single" w:color="C9CFDB" w:sz="2"/>
              <w:right w:val="single" w:color="C9CFDB" w:sz="2"/>
            </w:tcBorders>
            <w:shd w:fill="F3F5F9" w:val="clear"/>
            <w:tcMar>
              <w:top w:type="dxa" w:w="160"/>
              <w:left w:type="dxa" w:w="120"/>
              <w:bottom w:type="dxa" w:w="160"/>
              <w:right w:type="dxa" w:w="120"/>
            </w:tcMar>
          </w:tcPr>
          <w:p>
            <w:pPr>
              <w:spacing w:after="40"/>
              <w:jc w:val="center"/>
            </w:pPr>
            <w:r>
              <w:rPr>
                <w:rFonts w:ascii="Calibri" w:cs="Calibri" w:eastAsia="Calibri" w:hAnsi="Calibri"/>
                <w:b/>
                <w:bCs/>
                <w:color w:val="1b2a4a"/>
                <w:sz w:val="34"/>
                <w:szCs w:val="34"/>
              </w:rPr>
              <w:t xml:space="preserve">3,663</w:t>
            </w:r>
          </w:p>
          <w:p>
            <w:pPr>
              <w:jc w:val="center"/>
            </w:pPr>
            <w:r>
              <w:rPr>
                <w:rFonts w:ascii="Calibri" w:cs="Calibri" w:eastAsia="Calibri" w:hAnsi="Calibri"/>
                <w:color w:val="333333"/>
                <w:sz w:val="16"/>
                <w:szCs w:val="16"/>
              </w:rPr>
              <w:t xml:space="preserve">Total Search Records</w:t>
            </w:r>
          </w:p>
        </w:tc>
        <w:tc>
          <w:tcPr>
            <w:tcW w:type="dxa" w:w="2520"/>
            <w:tcBorders>
              <w:top w:val="single" w:color="C9CFDB" w:sz="2"/>
              <w:left w:val="single" w:color="C9CFDB" w:sz="2"/>
              <w:bottom w:val="single" w:color="C9CFDB" w:sz="2"/>
              <w:right w:val="single" w:color="C9CFDB" w:sz="2"/>
            </w:tcBorders>
            <w:shd w:fill="F3F5F9" w:val="clear"/>
            <w:tcMar>
              <w:top w:type="dxa" w:w="160"/>
              <w:left w:type="dxa" w:w="120"/>
              <w:bottom w:type="dxa" w:w="160"/>
              <w:right w:type="dxa" w:w="120"/>
            </w:tcMar>
          </w:tcPr>
          <w:p>
            <w:pPr>
              <w:spacing w:after="40"/>
              <w:jc w:val="center"/>
            </w:pPr>
            <w:r>
              <w:rPr>
                <w:rFonts w:ascii="Calibri" w:cs="Calibri" w:eastAsia="Calibri" w:hAnsi="Calibri"/>
                <w:b/>
                <w:bCs/>
                <w:color w:val="1b2a4a"/>
                <w:sz w:val="34"/>
                <w:szCs w:val="34"/>
              </w:rPr>
              <w:t xml:space="preserve">63</w:t>
            </w:r>
          </w:p>
          <w:p>
            <w:pPr>
              <w:jc w:val="center"/>
            </w:pPr>
            <w:r>
              <w:rPr>
                <w:rFonts w:ascii="Calibri" w:cs="Calibri" w:eastAsia="Calibri" w:hAnsi="Calibri"/>
                <w:color w:val="333333"/>
                <w:sz w:val="16"/>
                <w:szCs w:val="16"/>
              </w:rPr>
              <w:t xml:space="preserve">Distinct Users</w:t>
            </w:r>
          </w:p>
        </w:tc>
        <w:tc>
          <w:tcPr>
            <w:tcW w:type="dxa" w:w="2520"/>
            <w:tcBorders>
              <w:top w:val="single" w:color="C9CFDB" w:sz="2"/>
              <w:left w:val="single" w:color="C9CFDB" w:sz="2"/>
              <w:bottom w:val="single" w:color="C9CFDB" w:sz="2"/>
              <w:right w:val="single" w:color="C9CFDB" w:sz="2"/>
            </w:tcBorders>
            <w:shd w:fill="F3F5F9" w:val="clear"/>
            <w:tcMar>
              <w:top w:type="dxa" w:w="160"/>
              <w:left w:type="dxa" w:w="120"/>
              <w:bottom w:type="dxa" w:w="160"/>
              <w:right w:type="dxa" w:w="120"/>
            </w:tcMar>
          </w:tcPr>
          <w:p>
            <w:pPr>
              <w:spacing w:after="40"/>
              <w:jc w:val="center"/>
            </w:pPr>
            <w:r>
              <w:rPr>
                <w:rFonts w:ascii="Calibri" w:cs="Calibri" w:eastAsia="Calibri" w:hAnsi="Calibri"/>
                <w:b/>
                <w:bCs/>
                <w:color w:val="a4292c"/>
                <w:sz w:val="34"/>
                <w:szCs w:val="34"/>
              </w:rPr>
              <w:t xml:space="preserve">1,600</w:t>
            </w:r>
          </w:p>
          <w:p>
            <w:pPr>
              <w:jc w:val="center"/>
            </w:pPr>
            <w:r>
              <w:rPr>
                <w:rFonts w:ascii="Calibri" w:cs="Calibri" w:eastAsia="Calibri" w:hAnsi="Calibri"/>
                <w:color w:val="333333"/>
                <w:sz w:val="16"/>
                <w:szCs w:val="16"/>
              </w:rPr>
              <w:t xml:space="preserve">Records Missing a
Valid Case Number</w:t>
            </w:r>
          </w:p>
        </w:tc>
        <w:tc>
          <w:tcPr>
            <w:tcW w:type="dxa" w:w="2520"/>
            <w:tcBorders>
              <w:top w:val="single" w:color="C9CFDB" w:sz="2"/>
              <w:left w:val="single" w:color="C9CFDB" w:sz="2"/>
              <w:bottom w:val="single" w:color="C9CFDB" w:sz="2"/>
              <w:right w:val="single" w:color="C9CFDB" w:sz="2"/>
            </w:tcBorders>
            <w:shd w:fill="F3F5F9" w:val="clear"/>
            <w:tcMar>
              <w:top w:type="dxa" w:w="160"/>
              <w:left w:type="dxa" w:w="120"/>
              <w:bottom w:type="dxa" w:w="160"/>
              <w:right w:type="dxa" w:w="120"/>
            </w:tcMar>
          </w:tcPr>
          <w:p>
            <w:pPr>
              <w:spacing w:after="40"/>
              <w:jc w:val="center"/>
            </w:pPr>
            <w:r>
              <w:rPr>
                <w:rFonts w:ascii="Calibri" w:cs="Calibri" w:eastAsia="Calibri" w:hAnsi="Calibri"/>
                <w:b/>
                <w:bCs/>
                <w:color w:val="b5892a"/>
                <w:sz w:val="34"/>
                <w:szCs w:val="34"/>
              </w:rPr>
              <w:t xml:space="preserve">56.3%</w:t>
            </w:r>
          </w:p>
          <w:p>
            <w:pPr>
              <w:jc w:val="center"/>
            </w:pPr>
            <w:r>
              <w:rPr>
                <w:rFonts w:ascii="Calibri" w:cs="Calibri" w:eastAsia="Calibri" w:hAnsi="Calibri"/>
                <w:color w:val="333333"/>
                <w:sz w:val="16"/>
                <w:szCs w:val="16"/>
              </w:rPr>
              <w:t xml:space="preserve">Case-Number Compliance
Rate</w:t>
            </w:r>
          </w:p>
        </w:tc>
      </w:tr>
    </w:tbl>
    <w:p>
      <w:pPr>
        <w:spacing w:after="160" w:before="0"/>
      </w:pPr>
      <w:r>
        <w:rPr>
          <w:rFonts w:ascii="Calibri" w:cs="Calibri" w:eastAsia="Calibri" w:hAnsi="Calibri"/>
          <w:sz w:val="21"/>
          <w:szCs w:val="21"/>
        </w:rPr>
        <w:t xml:space="preserve"/>
      </w:r>
    </w:p>
    <w:p>
      <w:pPr>
        <w:pStyle w:val="ListParagraph"/>
        <w:numPr>
          <w:ilvl w:val="0"/>
          <w:numId w:val="2"/>
        </w:numPr>
        <w:spacing w:after="80"/>
      </w:pPr>
      <w:r>
        <w:rPr>
          <w:rFonts w:ascii="Calibri" w:cs="Calibri" w:eastAsia="Calibri" w:hAnsi="Calibri"/>
          <w:sz w:val="21"/>
          <w:szCs w:val="21"/>
        </w:rPr>
        <w:t xml:space="preserve">Case-number field integrity: Only 2,063 of 3,663 searches (56.3%) contain a properly-formatted case/incident number in the dedicated "Case #" field. The remaining 1,600 records (43.7%) either misfiled the case number in the wrong field or provided no identifiable case reference at all.</w:t>
      </w:r>
    </w:p>
    <w:p>
      <w:pPr>
        <w:pStyle w:val="ListParagraph"/>
        <w:numPr>
          <w:ilvl w:val="0"/>
          <w:numId w:val="2"/>
        </w:numPr>
        <w:spacing w:after="80"/>
      </w:pPr>
      <w:r>
        <w:rPr>
          <w:rFonts w:ascii="Calibri" w:cs="Calibri" w:eastAsia="Calibri" w:hAnsi="Calibri"/>
          <w:sz w:val="21"/>
          <w:szCs w:val="21"/>
        </w:rPr>
        <w:t xml:space="preserve">Misfiled case numbers: 1,396 searches (38.1%) show clear evidence that a case or incident identifier was entered into the wrong field — most commonly appended to the free-text "Reason" field instead of the "Case #" field (1,022 records), or a Flock-internal "FID" reference entered in place of an agency case number (347 records). See Section 6 and Appendices B–D.</w:t>
      </w:r>
    </w:p>
    <w:p>
      <w:pPr>
        <w:pStyle w:val="ListParagraph"/>
        <w:numPr>
          <w:ilvl w:val="0"/>
          <w:numId w:val="2"/>
        </w:numPr>
        <w:spacing w:after="80"/>
      </w:pPr>
      <w:r>
        <w:rPr>
          <w:rFonts w:ascii="Calibri" w:cs="Calibri" w:eastAsia="Calibri" w:hAnsi="Calibri"/>
          <w:sz w:val="21"/>
          <w:szCs w:val="21"/>
        </w:rPr>
        <w:t xml:space="preserve">No identifiable case number: 204 searches (5.6%) contain no case number anywhere in the record — not in the Case # field and not recoverable from the Reason field. See Section 5 and Appendix A.</w:t>
      </w:r>
    </w:p>
    <w:p>
      <w:pPr>
        <w:pStyle w:val="ListParagraph"/>
        <w:numPr>
          <w:ilvl w:val="0"/>
          <w:numId w:val="2"/>
        </w:numPr>
        <w:spacing w:after="80"/>
      </w:pPr>
      <w:r>
        <w:rPr>
          <w:rFonts w:ascii="Calibri" w:cs="Calibri" w:eastAsia="Calibri" w:hAnsi="Calibri"/>
          <w:sz w:val="21"/>
          <w:szCs w:val="21"/>
        </w:rPr>
        <w:t xml:space="preserve">Usage concentration: The top 3 users account for 35.3% of all searches; the top 10 users account for approximately 70% of all search volume, against a median of 13 searches per user across the full roster of 63. See Section 4.</w:t>
      </w:r>
    </w:p>
    <w:p>
      <w:pPr>
        <w:pStyle w:val="ListParagraph"/>
        <w:numPr>
          <w:ilvl w:val="0"/>
          <w:numId w:val="2"/>
        </w:numPr>
        <w:spacing w:after="80"/>
      </w:pPr>
      <w:r>
        <w:rPr>
          <w:rFonts w:ascii="Calibri" w:cs="Calibri" w:eastAsia="Calibri" w:hAnsi="Calibri"/>
          <w:sz w:val="21"/>
          <w:szCs w:val="21"/>
        </w:rPr>
        <w:t xml:space="preserve">Repeated/bursty lookups: 71 discrete sessions were identified in which a single user ran 5 or more plate "lookup" searches within a tight rolling window (≤120 seconds between searches), including several sessions exceeding 40–130 consecutive lookups. See Section 7.</w:t>
      </w:r>
    </w:p>
    <w:p>
      <w:pPr>
        <w:pStyle w:val="ListParagraph"/>
        <w:numPr>
          <w:ilvl w:val="0"/>
          <w:numId w:val="2"/>
        </w:numPr>
        <w:spacing w:after="80"/>
      </w:pPr>
      <w:r>
        <w:rPr>
          <w:rFonts w:ascii="Calibri" w:cs="Calibri" w:eastAsia="Calibri" w:hAnsi="Calibri"/>
          <w:sz w:val="21"/>
          <w:szCs w:val="21"/>
        </w:rPr>
        <w:t xml:space="preserve">Off-hours activity: search volume is not evenly distributed across the day; a material share of activity occurs during late-night/early-morning hours, consistent with shift patterns but warranting a sampling review against CAD/dispatch records. See Section 4.2.</w:t>
      </w:r>
    </w:p>
    <w:p>
      <w:pPr>
        <w:spacing w:after="160" w:before="0"/>
      </w:pPr>
      <w:r>
        <w:rPr>
          <w:rFonts w:ascii="Calibri" w:cs="Calibri" w:eastAsia="Calibri" w:hAnsi="Calibri"/>
          <w:sz w:val="21"/>
          <w:szCs w:val="21"/>
        </w:rPr>
        <w:t xml:space="preserve">These findings are presented to support supervisory review, records-policy remediation, and — where appropriate — individualized follow-up with the users identified in the appendices. Nothing in this report should be read as a finding of intentional misconduct; the patterns identified are consistent with both training/process gaps and, in a smaller number of cases, individually notable usage that merits a documented supervisory conversation.</w:t>
      </w:r>
    </w:p>
    <w:p>
      <w:pPr>
        <w:pStyle w:val="Heading1"/>
        <w:spacing w:after="200" w:before="420"/>
      </w:pPr>
      <w:r>
        <w:rPr>
          <w:rFonts w:ascii="Calibri" w:cs="Calibri" w:eastAsia="Calibri" w:hAnsi="Calibri"/>
          <w:b/>
          <w:bCs/>
          <w:color w:val="1b2a4a"/>
        </w:rPr>
        <w:t xml:space="preserve">2. Methodology</w:t>
      </w:r>
    </w:p>
    <w:p>
      <w:pPr>
        <w:pStyle w:val="Heading2"/>
        <w:spacing w:after="160" w:before="300"/>
      </w:pPr>
      <w:r>
        <w:rPr>
          <w:rFonts w:ascii="Calibri" w:cs="Calibri" w:eastAsia="Calibri" w:hAnsi="Calibri"/>
          <w:b/>
          <w:bCs/>
          <w:color w:val="1b2a4a"/>
        </w:rPr>
        <w:t xml:space="preserve">2.1 Data Source</w:t>
      </w:r>
    </w:p>
    <w:p>
      <w:pPr>
        <w:spacing w:after="160" w:before="0"/>
      </w:pPr>
      <w:r>
        <w:rPr>
          <w:rFonts w:ascii="Calibri" w:cs="Calibri" w:eastAsia="Calibri" w:hAnsi="Calibri"/>
          <w:sz w:val="21"/>
          <w:szCs w:val="21"/>
        </w:rPr>
        <w:t xml:space="preserve">The analysis is based on a single CSV export titled "050126-053126-BCSO_GA_Flock_Audit.csv," consisting of 13 fields: ID, Name, Org Name, Total Networks Searched, Time Frame, License, Reason, Case #, Filters, Search Time, Search Type, Text Prompt, and Moderation. The file contains 3,663 search-log rows spanning search timestamps from 05/01/2026 12:01:39 PM UTC through 06/01/2026 03:16:39 AM UTC.</w:t>
      </w:r>
    </w:p>
    <w:p>
      <w:pPr>
        <w:spacing w:after="160" w:before="0"/>
      </w:pPr>
      <w:r>
        <w:rPr>
          <w:rFonts w:ascii="Calibri" w:cs="Calibri" w:eastAsia="Calibri" w:hAnsi="Calibri"/>
          <w:sz w:val="21"/>
          <w:szCs w:val="21"/>
        </w:rPr>
        <w:t xml:space="preserve">The License and Filters fields were redacted ("***Redacted***") in every row of the source export and were therefore not available for plate-level or filter-level analysis. This is a material limitation and is discussed further in Section 2.3 and Section 7.</w:t>
      </w:r>
    </w:p>
    <w:p>
      <w:pPr>
        <w:pStyle w:val="Heading2"/>
        <w:spacing w:after="160" w:before="300"/>
      </w:pPr>
      <w:r>
        <w:rPr>
          <w:rFonts w:ascii="Calibri" w:cs="Calibri" w:eastAsia="Calibri" w:hAnsi="Calibri"/>
          <w:b/>
          <w:bCs/>
          <w:color w:val="1b2a4a"/>
        </w:rPr>
        <w:t xml:space="preserve">2.2 Analytical Approach</w:t>
      </w:r>
    </w:p>
    <w:p>
      <w:pPr>
        <w:pStyle w:val="ListParagraph"/>
        <w:numPr>
          <w:ilvl w:val="0"/>
          <w:numId w:val="2"/>
        </w:numPr>
        <w:spacing w:after="80"/>
      </w:pPr>
      <w:r>
        <w:rPr>
          <w:rFonts w:ascii="Calibri" w:cs="Calibri" w:eastAsia="Calibri" w:hAnsi="Calibri"/>
          <w:sz w:val="21"/>
          <w:szCs w:val="21"/>
        </w:rPr>
        <w:t xml:space="preserve">Deduplication / integrity checks: record counts, field completeness, and value-pattern distributions were computed across all fields to establish a baseline before deeper analysis.</w:t>
      </w:r>
    </w:p>
    <w:p>
      <w:pPr>
        <w:pStyle w:val="ListParagraph"/>
        <w:numPr>
          <w:ilvl w:val="0"/>
          <w:numId w:val="2"/>
        </w:numPr>
        <w:spacing w:after="80"/>
      </w:pPr>
      <w:r>
        <w:rPr>
          <w:rFonts w:ascii="Calibri" w:cs="Calibri" w:eastAsia="Calibri" w:hAnsi="Calibri"/>
          <w:sz w:val="21"/>
          <w:szCs w:val="21"/>
        </w:rPr>
        <w:t xml:space="preserve">Case-number field-integrity classification: each record’s Case # field and the free-text suffix of the Reason field (the text following the standard "&lt;Offense Category&gt; - " prefix) were programmatically classified using pattern matching for recognized case-number formats (e.g., YYYY-##### / YY-#####, department report formats such as 22CR80337, Flock-internal "FID ######" identifiers, and "CFS" call-for-service numbers). Four non-exclusive conditions were flagged:</w:t>
      </w:r>
    </w:p>
    <w:p>
      <w:pPr>
        <w:spacing w:after="80"/>
        <w:ind w:left="500"/>
      </w:pPr>
      <w:r>
        <w:rPr>
          <w:rFonts w:ascii="Calibri" w:cs="Calibri" w:eastAsia="Calibri" w:hAnsi="Calibri"/>
          <w:sz w:val="20"/>
          <w:szCs w:val="20"/>
        </w:rPr>
        <w:t xml:space="preserve">Flag A — Case # field blank, but a case-number-shaped value found appended to the Reason field;</w:t>
      </w:r>
    </w:p>
    <w:p>
      <w:pPr>
        <w:spacing w:after="80"/>
        <w:ind w:left="500"/>
      </w:pPr>
      <w:r>
        <w:rPr>
          <w:rFonts w:ascii="Calibri" w:cs="Calibri" w:eastAsia="Calibri" w:hAnsi="Calibri"/>
          <w:sz w:val="20"/>
          <w:szCs w:val="20"/>
        </w:rPr>
        <w:t xml:space="preserve">Flag B — Case # field populated with descriptive/reason text (e.g., "theft," "wanted") rather than a number;</w:t>
      </w:r>
    </w:p>
    <w:p>
      <w:pPr>
        <w:spacing w:after="80"/>
        <w:ind w:left="500"/>
      </w:pPr>
      <w:r>
        <w:rPr>
          <w:rFonts w:ascii="Calibri" w:cs="Calibri" w:eastAsia="Calibri" w:hAnsi="Calibri"/>
          <w:sz w:val="20"/>
          <w:szCs w:val="20"/>
        </w:rPr>
        <w:t xml:space="preserve">Flag C — Case # field populated with a Flock-internal "FID" object reference instead of an agency case number;</w:t>
      </w:r>
    </w:p>
    <w:p>
      <w:pPr>
        <w:spacing w:after="160"/>
        <w:ind w:left="500"/>
      </w:pPr>
      <w:r>
        <w:rPr>
          <w:rFonts w:ascii="Calibri" w:cs="Calibri" w:eastAsia="Calibri" w:hAnsi="Calibri"/>
          <w:sz w:val="20"/>
          <w:szCs w:val="20"/>
        </w:rPr>
        <w:t xml:space="preserve">Flag D — Case # field populated, but a different case-number-shaped value is also present in the Reason field (possible duplicate/conflicting entry, reported separately and not counted toward the headline "wrong field" total).</w:t>
      </w:r>
    </w:p>
    <w:p>
      <w:pPr>
        <w:pStyle w:val="ListParagraph"/>
        <w:numPr>
          <w:ilvl w:val="0"/>
          <w:numId w:val="2"/>
        </w:numPr>
        <w:spacing w:after="80"/>
      </w:pPr>
      <w:r>
        <w:rPr>
          <w:rFonts w:ascii="Calibri" w:cs="Calibri" w:eastAsia="Calibri" w:hAnsi="Calibri"/>
          <w:sz w:val="21"/>
          <w:szCs w:val="21"/>
        </w:rPr>
        <w:t xml:space="preserve">No-identifiable-case-number classification: records with a blank Case # field where the Reason-field suffix also does not resemble a case number (i.e., blank, or a bare descriptive word such as "suspect," "stolen," or "shooting") were classified as lacking any identifiable case reference.</w:t>
      </w:r>
    </w:p>
    <w:p>
      <w:pPr>
        <w:pStyle w:val="ListParagraph"/>
        <w:numPr>
          <w:ilvl w:val="0"/>
          <w:numId w:val="2"/>
        </w:numPr>
        <w:spacing w:after="80"/>
      </w:pPr>
      <w:r>
        <w:rPr>
          <w:rFonts w:ascii="Calibri" w:cs="Calibri" w:eastAsia="Calibri" w:hAnsi="Calibri"/>
          <w:sz w:val="21"/>
          <w:szCs w:val="21"/>
        </w:rPr>
        <w:t xml:space="preserve">User-volume ranking: records were grouped by the Name field (the analyst/operator identity in the export) and ranked by total search count over the audit window.</w:t>
      </w:r>
    </w:p>
    <w:p>
      <w:pPr>
        <w:pStyle w:val="ListParagraph"/>
        <w:numPr>
          <w:ilvl w:val="0"/>
          <w:numId w:val="2"/>
        </w:numPr>
        <w:spacing w:after="80"/>
      </w:pPr>
      <w:r>
        <w:rPr>
          <w:rFonts w:ascii="Calibri" w:cs="Calibri" w:eastAsia="Calibri" w:hAnsi="Calibri"/>
          <w:sz w:val="21"/>
          <w:szCs w:val="21"/>
        </w:rPr>
        <w:t xml:space="preserve">Timeline analysis: the Search Time field (UTC) was parsed and converted to America/New_York local time for hour-of-day and day-of-week distributions; UTC calendar date was retained for the daily-volume trend.</w:t>
      </w:r>
    </w:p>
    <w:p>
      <w:pPr>
        <w:pStyle w:val="ListParagraph"/>
        <w:numPr>
          <w:ilvl w:val="0"/>
          <w:numId w:val="2"/>
        </w:numPr>
        <w:spacing w:after="80"/>
      </w:pPr>
      <w:r>
        <w:rPr>
          <w:rFonts w:ascii="Calibri" w:cs="Calibri" w:eastAsia="Calibri" w:hAnsi="Calibri"/>
          <w:sz w:val="21"/>
          <w:szCs w:val="21"/>
        </w:rPr>
        <w:t xml:space="preserve">Repeated/bursty lookup analysis: records with Search Type of "lookup" or "lookup – Mobile" were grouped by user and sorted chronologically. A new "session" was started whenever the gap since the previous lookup by that same user exceeded 120 seconds; sessions containing 5 or more searches are reported as bursts in Section 7 and Appendix E.</w:t>
      </w:r>
    </w:p>
    <w:p>
      <w:pPr>
        <w:pStyle w:val="Heading2"/>
        <w:spacing w:after="160" w:before="300"/>
      </w:pPr>
      <w:r>
        <w:rPr>
          <w:rFonts w:ascii="Calibri" w:cs="Calibri" w:eastAsia="Calibri" w:hAnsi="Calibri"/>
          <w:b/>
          <w:bCs/>
          <w:color w:val="1b2a4a"/>
        </w:rPr>
        <w:t xml:space="preserve">2.3 Limitations</w:t>
      </w:r>
    </w:p>
    <w:p>
      <w:pPr>
        <w:pStyle w:val="ListParagraph"/>
        <w:numPr>
          <w:ilvl w:val="0"/>
          <w:numId w:val="2"/>
        </w:numPr>
        <w:spacing w:after="80"/>
      </w:pPr>
      <w:r>
        <w:rPr>
          <w:rFonts w:ascii="Calibri" w:cs="Calibri" w:eastAsia="Calibri" w:hAnsi="Calibri"/>
          <w:sz w:val="21"/>
          <w:szCs w:val="21"/>
        </w:rPr>
        <w:t xml:space="preserve">The License (plate) and Filters fields were fully redacted in the source export. As a result, this audit cannot confirm whether repeated lookups within a burst session targeted the same plate, related plates, or unrelated plates. "Repeated plate searches" in this report is therefore a proxy measure — temporal clustering of lookup-type searches by the same user under the same case/reason — rather than a direct plate-to-plate match. An un-redacted export would allow this to be confirmed with certainty.</w:t>
      </w:r>
    </w:p>
    <w:p>
      <w:pPr>
        <w:pStyle w:val="ListParagraph"/>
        <w:numPr>
          <w:ilvl w:val="0"/>
          <w:numId w:val="2"/>
        </w:numPr>
        <w:spacing w:after="80"/>
      </w:pPr>
      <w:r>
        <w:rPr>
          <w:rFonts w:ascii="Calibri" w:cs="Calibri" w:eastAsia="Calibri" w:hAnsi="Calibri"/>
          <w:sz w:val="21"/>
          <w:szCs w:val="21"/>
        </w:rPr>
        <w:t xml:space="preserve">Case-number pattern matching is rule-based and cannot verify that a value in the Case # field corresponds to an actual, currently-open case in the agency’s records-management system (RMS). It identifies field-format and field-placement anomalies, not RMS validity.</w:t>
      </w:r>
    </w:p>
    <w:p>
      <w:pPr>
        <w:pStyle w:val="ListParagraph"/>
        <w:numPr>
          <w:ilvl w:val="0"/>
          <w:numId w:val="2"/>
        </w:numPr>
        <w:spacing w:after="80"/>
      </w:pPr>
      <w:r>
        <w:rPr>
          <w:rFonts w:ascii="Calibri" w:cs="Calibri" w:eastAsia="Calibri" w:hAnsi="Calibri"/>
          <w:sz w:val="21"/>
          <w:szCs w:val="21"/>
        </w:rPr>
        <w:t xml:space="preserve">The "Name" field is taken as provided in the export and assumed to represent one individual per distinct name; the audit does not independently verify account-to-person mapping.</w:t>
      </w:r>
    </w:p>
    <w:p>
      <w:pPr>
        <w:pStyle w:val="ListParagraph"/>
        <w:numPr>
          <w:ilvl w:val="0"/>
          <w:numId w:val="2"/>
        </w:numPr>
        <w:spacing w:after="80"/>
      </w:pPr>
      <w:r>
        <w:rPr>
          <w:rFonts w:ascii="Calibri" w:cs="Calibri" w:eastAsia="Calibri" w:hAnsi="Calibri"/>
          <w:sz w:val="21"/>
          <w:szCs w:val="21"/>
        </w:rPr>
        <w:t xml:space="preserve">All times are as recorded by the Flock platform; no independent verification against CAD/dispatch timestamps was performed for this report.</w:t>
      </w:r>
    </w:p>
    <w:p>
      <w:pPr>
        <w:pStyle w:val="Heading1"/>
        <w:spacing w:after="200" w:before="420"/>
      </w:pPr>
      <w:r>
        <w:rPr>
          <w:rFonts w:ascii="Calibri" w:cs="Calibri" w:eastAsia="Calibri" w:hAnsi="Calibri"/>
          <w:b/>
          <w:bCs/>
          <w:color w:val="1b2a4a"/>
        </w:rPr>
        <w:t xml:space="preserve">3. Statistical Analysis</w:t>
      </w:r>
    </w:p>
    <w:p>
      <w:pPr>
        <w:spacing w:after="160" w:before="0"/>
      </w:pPr>
      <w:r>
        <w:rPr>
          <w:rFonts w:ascii="Calibri" w:cs="Calibri" w:eastAsia="Calibri" w:hAnsi="Calibri"/>
          <w:sz w:val="21"/>
          <w:szCs w:val="21"/>
        </w:rPr>
        <w:t xml:space="preserve">The audit log covers 3,663 searches performed by 63 distinct users over a 31-day window. Search activity is dominated by plate "lookup" activity (69% of all records combined across "lookup" and "lookup – Mobile"), followed by general "search" activity and a smaller volume of AI-assisted "visual" and "freeform" natural-language searches.</w:t>
      </w:r>
    </w:p>
    <w:p>
      <w:pPr>
        <w:spacing w:after="200" w:before="80"/>
        <w:jc w:val="center"/>
      </w:pPr>
      <w:r>
        <w:drawing>
          <wp:inline distT="0" distB="0" distL="0" distR="0">
            <wp:extent cx="53340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238375"/>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1. Search volume by Search Type.</w:t>
      </w:r>
    </w:p>
    <w:p>
      <w:pPr>
        <w:spacing w:after="160" w:before="0"/>
      </w:pPr>
      <w:r>
        <w:rPr>
          <w:rFonts w:ascii="Calibri" w:cs="Calibri" w:eastAsia="Calibri" w:hAnsi="Calibri"/>
          <w:sz w:val="21"/>
          <w:szCs w:val="21"/>
        </w:rPr>
        <w:t xml:space="preserve">Case-number field integrity was assessed across the full record set. Roughly 56% of records carry a correctly-placed, recognizable case number; the remainder is split between records where a case number exists but was entered in the wrong field, and records with no identifiable case reference at all.</w:t>
      </w:r>
    </w:p>
    <w:p>
      <w:pPr>
        <w:spacing w:after="200" w:before="80"/>
        <w:jc w:val="center"/>
      </w:pPr>
      <w:r>
        <w:drawing>
          <wp:inline distT="0" distB="0" distL="0" distR="0">
            <wp:extent cx="4095750" cy="352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3524250"/>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2. Case-number field integrity across all 3,663 records.</w:t>
      </w:r>
    </w:p>
    <w:p>
      <w:pPr>
        <w:spacing w:after="160" w:before="0"/>
      </w:pPr>
      <w:r>
        <w:rPr>
          <w:rFonts w:ascii="Calibri" w:cs="Calibri" w:eastAsia="Calibri" w:hAnsi="Calibri"/>
          <w:sz w:val="21"/>
          <w:szCs w:val="21"/>
        </w:rPr>
        <w:t xml:space="preserve">Among the misfiled records, the dominant pattern is a case number typed into the free-text Reason field while the dedicated Case # field was left blank — suggesting a workflow or training gap rather than a single user’s idiosyncratic habit, given that it recurs across dozens of user accounts (see Appendix B).</w:t>
      </w:r>
    </w:p>
    <w:p>
      <w:pPr>
        <w:spacing w:after="200" w:before="80"/>
        <w:jc w:val="center"/>
      </w:pPr>
      <w:r>
        <w:drawing>
          <wp:inline distT="0" distB="0" distL="0" distR="0">
            <wp:extent cx="45720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2571750"/>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3. Breakdown of the 1,396 misfiled case-number entries by type.</w:t>
      </w:r>
    </w:p>
    <w:p>
      <w:pPr>
        <w:pStyle w:val="Heading1"/>
        <w:spacing w:after="200" w:before="420"/>
      </w:pPr>
      <w:r>
        <w:rPr>
          <w:rFonts w:ascii="Calibri" w:cs="Calibri" w:eastAsia="Calibri" w:hAnsi="Calibri"/>
          <w:b/>
          <w:bCs/>
          <w:color w:val="1b2a4a"/>
        </w:rPr>
        <w:t xml:space="preserve">4. Timeline Analysis</w:t>
      </w:r>
    </w:p>
    <w:p>
      <w:pPr>
        <w:pStyle w:val="Heading2"/>
        <w:spacing w:after="160" w:before="300"/>
      </w:pPr>
      <w:r>
        <w:rPr>
          <w:rFonts w:ascii="Calibri" w:cs="Calibri" w:eastAsia="Calibri" w:hAnsi="Calibri"/>
          <w:b/>
          <w:bCs/>
          <w:color w:val="1b2a4a"/>
        </w:rPr>
        <w:t xml:space="preserve">4.1 Daily Volume</w:t>
      </w:r>
    </w:p>
    <w:p>
      <w:pPr>
        <w:spacing w:after="160" w:before="0"/>
      </w:pPr>
      <w:r>
        <w:rPr>
          <w:rFonts w:ascii="Calibri" w:cs="Calibri" w:eastAsia="Calibri" w:hAnsi="Calibri"/>
          <w:sz w:val="21"/>
          <w:szCs w:val="21"/>
        </w:rPr>
        <w:t xml:space="preserve">Daily search volume ranged from a low of 14 searches (May 16) to a high of 275 searches (May 28) over the audit window, with several other spikes above 200 searches/day (May 15, 18, 26, 31). These spikes should be cross-checked against known case activity (e.g., active manhunts, task-force operations) to confirm they reflect legitimate case-driven surges rather than un-cased browsing.</w:t>
      </w:r>
    </w:p>
    <w:p>
      <w:pPr>
        <w:spacing w:after="200" w:before="80"/>
        <w:jc w:val="center"/>
      </w:pPr>
      <w:r>
        <w:drawing>
          <wp:inline distT="0" distB="0" distL="0" distR="0">
            <wp:extent cx="53340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238375"/>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4. Daily search volume, May 1 – June 1, 2026 (UTC calendar date).</w:t>
      </w:r>
    </w:p>
    <w:p>
      <w:pPr>
        <w:pStyle w:val="Heading2"/>
        <w:spacing w:after="160" w:before="300"/>
      </w:pPr>
      <w:r>
        <w:rPr>
          <w:rFonts w:ascii="Calibri" w:cs="Calibri" w:eastAsia="Calibri" w:hAnsi="Calibri"/>
          <w:b/>
          <w:bCs/>
          <w:color w:val="1b2a4a"/>
        </w:rPr>
        <w:t xml:space="preserve">4.2 Time-of-Day Pattern</w:t>
      </w:r>
    </w:p>
    <w:p>
      <w:pPr>
        <w:spacing w:after="160" w:before="0"/>
      </w:pPr>
      <w:r>
        <w:rPr>
          <w:rFonts w:ascii="Calibri" w:cs="Calibri" w:eastAsia="Calibri" w:hAnsi="Calibri"/>
          <w:sz w:val="21"/>
          <w:szCs w:val="21"/>
        </w:rPr>
        <w:t xml:space="preserve">Converted to Eastern local time, search activity peaks in the late morning through mid-afternoon (approximately 9 AM–4 PM) with a second, smaller peak around 10 PM. Overnight hours (bars shown in red, 12 AM–6 AM local) still account for a non-trivial share of total volume. Overnight and late-night search activity is not inherently improper for a 24/7 law-enforcement operation, but it is a reasonable sampling frame for a supervisory spot-check given the elevated rate of missing/misfiled case numbers observed generally.</w:t>
      </w:r>
    </w:p>
    <w:p>
      <w:pPr>
        <w:spacing w:after="200" w:before="80"/>
        <w:jc w:val="center"/>
      </w:pPr>
      <w:r>
        <w:drawing>
          <wp:inline distT="0" distB="0" distL="0" distR="0">
            <wp:extent cx="53340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238375"/>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5. Search volume by hour of day, America/New_York local time.</w:t>
      </w:r>
    </w:p>
    <w:p>
      <w:pPr>
        <w:pStyle w:val="Heading2"/>
        <w:spacing w:after="160" w:before="300"/>
      </w:pPr>
      <w:r>
        <w:rPr>
          <w:rFonts w:ascii="Calibri" w:cs="Calibri" w:eastAsia="Calibri" w:hAnsi="Calibri"/>
          <w:b/>
          <w:bCs/>
          <w:color w:val="1b2a4a"/>
        </w:rPr>
        <w:t xml:space="preserve">4.3 Day-of-Week Pattern</w:t>
      </w:r>
    </w:p>
    <w:p>
      <w:pPr>
        <w:spacing w:after="160" w:before="0"/>
      </w:pPr>
      <w:r>
        <w:rPr>
          <w:rFonts w:ascii="Calibri" w:cs="Calibri" w:eastAsia="Calibri" w:hAnsi="Calibri"/>
          <w:sz w:val="21"/>
          <w:szCs w:val="21"/>
        </w:rPr>
        <w:t xml:space="preserve">Friday is the highest-volume day of the week in the audit window, roughly double the volume of the lowest day (Wednesday). This is consistent with weekend-lead-in patrol/investigative activity but is noted here as context for the burst-session findings in Section 7, several of which occur on Fridays.</w:t>
      </w:r>
    </w:p>
    <w:p>
      <w:pPr>
        <w:spacing w:after="200" w:before="80"/>
        <w:jc w:val="center"/>
      </w:pPr>
      <w:r>
        <w:drawing>
          <wp:inline distT="0" distB="0" distL="0" distR="0">
            <wp:extent cx="53340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238375"/>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6. Search volume by day of week (local time).</w:t>
      </w:r>
    </w:p>
    <w:p>
      <w:pPr>
        <w:pStyle w:val="Heading1"/>
        <w:spacing w:after="200" w:before="420"/>
      </w:pPr>
      <w:r>
        <w:rPr>
          <w:rFonts w:ascii="Calibri" w:cs="Calibri" w:eastAsia="Calibri" w:hAnsi="Calibri"/>
          <w:b/>
          <w:bCs/>
          <w:color w:val="1b2a4a"/>
        </w:rPr>
        <w:t xml:space="preserve">5. Users With the Highest Search Volumes</w:t>
      </w:r>
    </w:p>
    <w:p>
      <w:pPr>
        <w:spacing w:after="160" w:before="0"/>
      </w:pPr>
      <w:r>
        <w:rPr>
          <w:rFonts w:ascii="Calibri" w:cs="Calibri" w:eastAsia="Calibri" w:hAnsi="Calibri"/>
          <w:sz w:val="21"/>
          <w:szCs w:val="21"/>
        </w:rPr>
        <w:t xml:space="preserve">Search activity is highly concentrated: the median user account performed 13 searches over the audit window, while the top-volume user, Alex Fletcher, performed 553 — more than 42x the median. The top 10 users collectively account for roughly 70% of all search activity across a 63-person roster.</w:t>
      </w:r>
    </w:p>
    <w:p>
      <w:pPr>
        <w:spacing w:after="200" w:before="80"/>
        <w:jc w:val="center"/>
      </w:pPr>
      <w:r>
        <w:drawing>
          <wp:inline distT="0" distB="0" distL="0" distR="0">
            <wp:extent cx="5334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048000"/>
                    </a:xfrm>
                    <a:prstGeom prst="rect">
                      <a:avLst/>
                    </a:prstGeom>
                  </pic:spPr>
                </pic:pic>
              </a:graphicData>
            </a:graphic>
          </wp:inline>
        </w:drawing>
      </w:r>
    </w:p>
    <w:p>
      <w:pPr>
        <w:spacing w:after="280"/>
        <w:jc w:val="center"/>
      </w:pPr>
      <w:r>
        <w:rPr>
          <w:rFonts w:ascii="Calibri" w:cs="Calibri" w:eastAsia="Calibri" w:hAnsi="Calibri"/>
          <w:i/>
          <w:iCs/>
          <w:color w:val="6b7280"/>
          <w:sz w:val="18"/>
          <w:szCs w:val="18"/>
        </w:rPr>
        <w:t xml:space="preserve">Figure 7. Top 15 users by total search volume.</w:t>
      </w:r>
    </w:p>
    <w:p>
      <w:pPr>
        <w:pStyle w:val="Heading2"/>
        <w:spacing w:after="160" w:before="300"/>
      </w:pPr>
      <w:r>
        <w:rPr>
          <w:rFonts w:ascii="Calibri" w:cs="Calibri" w:eastAsia="Calibri" w:hAnsi="Calibri"/>
          <w:b/>
          <w:bCs/>
          <w:color w:val="1b2a4a"/>
        </w:rPr>
        <w:t xml:space="preserve">5.1 Top 20 Users by Search Volume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0"/>
        <w:gridCol w:w="5580"/>
        <w:gridCol w:w="1800"/>
        <w:gridCol w:w="1800"/>
      </w:tblGrid>
      <w:tr>
        <w:trPr>
          <w:tblHeader/>
        </w:trPr>
        <w:tc>
          <w:tcPr>
            <w:tcW w:type="dxa" w:w="9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Rank</w:t>
            </w:r>
          </w:p>
        </w:tc>
        <w:tc>
          <w:tcPr>
            <w:tcW w:type="dxa" w:w="558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User</w:t>
            </w:r>
          </w:p>
        </w:tc>
        <w:tc>
          <w:tcPr>
            <w:tcW w:type="dxa" w:w="18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Searches</w:t>
            </w:r>
          </w:p>
        </w:tc>
        <w:tc>
          <w:tcPr>
            <w:tcW w:type="dxa" w:w="18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 of Total</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Alex Fletcher</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553</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15.1%</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Adam Grant</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371</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10.1%</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3</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Enrique Hogan</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369</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10.1%</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Justin Edwards</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260</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7.1%</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Alexis Robinson</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187</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5.1%</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6</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Seth Vonderhuevel</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183</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5.0%</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7</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Thomas Crites</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177</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4.8%</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8</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Kirsten Davella</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165</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4.5%</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9</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Charlee Gibson</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151</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4.1%</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10</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George Witherspoon</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142</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3.9%</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11</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Wesley Durbin</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114</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3.1%</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12</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Min Ha</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113</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3.1%</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13</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Christian Erceg</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61</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1.7%</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14</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John Kile</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58</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1.6%</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15</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Josh Cravey</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55</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1.5%</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16</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Jonathan Hubbard</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51</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1.4%</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17</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Toni Lewis</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47</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1.3%</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18</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Dina Shurley</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44</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1.2%</w:t>
            </w:r>
          </w:p>
        </w:tc>
      </w:tr>
      <w:tr>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19</w:t>
            </w:r>
          </w:p>
        </w:tc>
        <w:tc>
          <w:tcPr>
            <w:tcW w:type="dxa" w:w="55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MELANIE HOFMANN</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44</w:t>
            </w:r>
          </w:p>
        </w:tc>
        <w:tc>
          <w:tcPr>
            <w:tcW w:type="dxa" w:w="18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1.2%</w:t>
            </w:r>
          </w:p>
        </w:tc>
      </w:tr>
      <w:tr>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20</w:t>
            </w:r>
          </w:p>
        </w:tc>
        <w:tc>
          <w:tcPr>
            <w:tcW w:type="dxa" w:w="55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Joshua Benfield</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43</w:t>
            </w:r>
          </w:p>
        </w:tc>
        <w:tc>
          <w:tcPr>
            <w:tcW w:type="dxa" w:w="18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1.2%</w:t>
            </w:r>
          </w:p>
        </w:tc>
      </w:tr>
    </w:tbl>
    <w:p>
      <w:pPr>
        <w:spacing w:after="300" w:before="0"/>
      </w:pPr>
      <w:r>
        <w:rPr>
          <w:rFonts w:ascii="Calibri" w:cs="Calibri" w:eastAsia="Calibri" w:hAnsi="Calibri"/>
          <w:sz w:val="21"/>
          <w:szCs w:val="21"/>
        </w:rPr>
        <w:t xml:space="preserve">High individual volume is not, by itself, evidence of misuse — it may reflect assignment to a specialized unit (e.g., an ALPR/analyst desk) with legitimately heavy caseload. It is flagged here because it is the correct starting population for a supervisory sampling review, particularly when cross-referenced against the case-number integrity and burst-session findings elsewhere in this report.</w:t>
      </w:r>
    </w:p>
    <w:p>
      <w:pPr>
        <w:pStyle w:val="Heading1"/>
        <w:spacing w:after="200" w:before="420"/>
      </w:pPr>
      <w:r>
        <w:rPr>
          <w:rFonts w:ascii="Calibri" w:cs="Calibri" w:eastAsia="Calibri" w:hAnsi="Calibri"/>
          <w:b/>
          <w:bCs/>
          <w:color w:val="1b2a4a"/>
        </w:rPr>
        <w:t xml:space="preserve">6. Searches Lacking Any Identifiable Case Number</w:t>
      </w:r>
    </w:p>
    <w:p>
      <w:pPr>
        <w:spacing w:after="160" w:before="0"/>
      </w:pPr>
      <w:r>
        <w:rPr>
          <w:rFonts w:ascii="Calibri" w:cs="Calibri" w:eastAsia="Calibri" w:hAnsi="Calibri"/>
          <w:sz w:val="21"/>
          <w:szCs w:val="21"/>
        </w:rPr>
        <w:t xml:space="preserve">204 of 3,663 searches (5.6%) contain no case or incident number anywhere in the record: the Case # field is blank, and the Reason field contains either nothing or only a bare descriptive word (e.g., "suspect," "stolen," "shooting," "investigation") rather than a number. These searches cannot be tied back to a specific case file for audit or discovery purposes as recorded.</w:t>
      </w:r>
    </w:p>
    <w:p>
      <w:pPr>
        <w:pStyle w:val="Heading2"/>
        <w:spacing w:after="160" w:before="300"/>
      </w:pPr>
      <w:r>
        <w:rPr>
          <w:rFonts w:ascii="Calibri" w:cs="Calibri" w:eastAsia="Calibri" w:hAnsi="Calibri"/>
          <w:b/>
          <w:bCs/>
          <w:color w:val="1b2a4a"/>
        </w:rPr>
        <w:t xml:space="preserve">6.1 Users Most Frequently Missing a Case 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80"/>
        <w:gridCol w:w="3000"/>
      </w:tblGrid>
      <w:tr>
        <w:trPr>
          <w:tblHeader/>
        </w:trPr>
        <w:tc>
          <w:tcPr>
            <w:tcW w:type="dxa" w:w="708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User</w:t>
            </w:r>
          </w:p>
        </w:tc>
        <w:tc>
          <w:tcPr>
            <w:tcW w:type="dxa" w:w="30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Searches With No Case Number</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George Witherspoon</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55</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Seth Vonderhuevel</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40</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Emily Mattox</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18</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Jonathan Hubbard</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9</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Elijah White</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8</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Steve Gatlin</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8</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Fred Gray</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7</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Toni Lewis</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7</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Eric Pipkin</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6</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Eric Woodford</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6</w:t>
            </w:r>
          </w:p>
        </w:tc>
      </w:tr>
      <w:tr>
        <w:tc>
          <w:tcPr>
            <w:tcW w:type="dxa" w:w="70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Michael Jones</w:t>
            </w:r>
          </w:p>
        </w:tc>
        <w:tc>
          <w:tcPr>
            <w:tcW w:type="dxa" w:w="3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6</w:t>
            </w:r>
          </w:p>
        </w:tc>
      </w:tr>
      <w:tr>
        <w:tc>
          <w:tcPr>
            <w:tcW w:type="dxa" w:w="70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Craig Lewis</w:t>
            </w:r>
          </w:p>
        </w:tc>
        <w:tc>
          <w:tcPr>
            <w:tcW w:type="dxa" w:w="3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5</w:t>
            </w:r>
          </w:p>
        </w:tc>
      </w:tr>
    </w:tbl>
    <w:p>
      <w:pPr>
        <w:spacing w:after="160" w:before="200"/>
      </w:pPr>
      <w:r>
        <w:rPr>
          <w:rFonts w:ascii="Calibri" w:cs="Calibri" w:eastAsia="Calibri" w:hAnsi="Calibri"/>
          <w:sz w:val="21"/>
          <w:szCs w:val="21"/>
        </w:rPr>
        <w:t xml:space="preserve">The full list of all 204 searches lacking an identifiable case number — including timestamp, offense category, and any free-text reason given — is provided in Appendix A for case-by-case review.</w:t>
      </w:r>
    </w:p>
    <w:p>
      <w:pPr>
        <w:pStyle w:val="Heading1"/>
        <w:spacing w:after="200" w:before="420"/>
      </w:pPr>
      <w:r>
        <w:rPr>
          <w:rFonts w:ascii="Calibri" w:cs="Calibri" w:eastAsia="Calibri" w:hAnsi="Calibri"/>
          <w:b/>
          <w:bCs/>
          <w:color w:val="1b2a4a"/>
        </w:rPr>
        <w:t xml:space="preserve">7. Repeated Lookup ("Plate Search") Activity</w:t>
      </w:r>
    </w:p>
    <w:p>
      <w:pPr>
        <w:spacing w:after="160" w:before="0"/>
      </w:pPr>
      <w:r>
        <w:rPr>
          <w:rFonts w:ascii="Calibri" w:cs="Calibri" w:eastAsia="Calibri" w:hAnsi="Calibri"/>
          <w:sz w:val="21"/>
          <w:szCs w:val="21"/>
        </w:rPr>
        <w:t xml:space="preserve">The License (plate) field was fully redacted in the source export, so this audit cannot confirm at the plate level whether the same plate was searched multiple times. As a proxy, the audit identifies "burst sessions": runs of 5 or more consecutive plate-lookup searches (Search Type "lookup" or "lookup – Mobile") by the same user with no more than 120 seconds between consecutive searches.</w:t>
      </w:r>
    </w:p>
    <w:p>
      <w:pPr>
        <w:spacing w:after="160" w:before="0"/>
      </w:pPr>
      <w:r>
        <w:rPr>
          <w:rFonts w:ascii="Calibri" w:cs="Calibri" w:eastAsia="Calibri" w:hAnsi="Calibri"/>
          <w:sz w:val="21"/>
          <w:szCs w:val="21"/>
        </w:rPr>
        <w:t xml:space="preserve">71 such burst sessions were identified across the audit window, ranging from 5 up to 128 lookups in a single session. The largest sessions are summarized below; the complete list is provided in Appendix E.</w:t>
      </w:r>
    </w:p>
    <w:p>
      <w:pPr>
        <w:pStyle w:val="Heading2"/>
        <w:spacing w:after="160" w:before="300"/>
      </w:pPr>
      <w:r>
        <w:rPr>
          <w:rFonts w:ascii="Calibri" w:cs="Calibri" w:eastAsia="Calibri" w:hAnsi="Calibri"/>
          <w:b/>
          <w:bCs/>
          <w:color w:val="1b2a4a"/>
        </w:rPr>
        <w:t xml:space="preserve">7.1 Largest Burst Sessions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600"/>
        <w:gridCol w:w="900"/>
        <w:gridCol w:w="2000"/>
        <w:gridCol w:w="2000"/>
        <w:gridCol w:w="1200"/>
        <w:gridCol w:w="1380"/>
      </w:tblGrid>
      <w:tr>
        <w:trPr>
          <w:tblHeader/>
        </w:trPr>
        <w:tc>
          <w:tcPr>
            <w:tcW w:type="dxa" w:w="16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User</w:t>
            </w:r>
          </w:p>
        </w:tc>
        <w:tc>
          <w:tcPr>
            <w:tcW w:type="dxa" w:w="9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 Lookups</w:t>
            </w:r>
          </w:p>
        </w:tc>
        <w:tc>
          <w:tcPr>
            <w:tcW w:type="dxa" w:w="20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Session Start (ET)</w:t>
            </w:r>
          </w:p>
        </w:tc>
        <w:tc>
          <w:tcPr>
            <w:tcW w:type="dxa" w:w="20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Session End (ET)</w:t>
            </w:r>
          </w:p>
        </w:tc>
        <w:tc>
          <w:tcPr>
            <w:tcW w:type="dxa" w:w="120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Duration (min)</w:t>
            </w:r>
          </w:p>
        </w:tc>
        <w:tc>
          <w:tcPr>
            <w:tcW w:type="dxa" w:w="1380"/>
            <w:tcBorders>
              <w:top w:val="single" w:color="C9CFDB" w:sz="2"/>
              <w:left w:val="single" w:color="C9CFDB" w:sz="2"/>
              <w:bottom w:val="single" w:color="C9CFDB" w:sz="2"/>
              <w:right w:val="single" w:color="C9CFDB" w:sz="2"/>
            </w:tcBorders>
            <w:shd w:fill="1b2a4a" w:val="clear"/>
            <w:tcMar>
              <w:top w:type="dxa" w:w="60"/>
              <w:left w:type="dxa" w:w="90"/>
              <w:bottom w:type="dxa" w:w="60"/>
              <w:right w:type="dxa" w:w="90"/>
            </w:tcMar>
            <w:vAlign w:val="center"/>
          </w:tcPr>
          <w:p>
            <w:r>
              <w:rPr>
                <w:rFonts w:ascii="Calibri" w:cs="Calibri" w:eastAsia="Calibri" w:hAnsi="Calibri"/>
                <w:b/>
                <w:bCs/>
                <w:color w:val="FFFFFF"/>
                <w:sz w:val="17"/>
                <w:szCs w:val="17"/>
              </w:rPr>
              <w:t xml:space="preserve">Case #(s) Referenced</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Alex Fletcher</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128</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05/30/2026 10:19:30 PM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05/30/2026 10:33:14 PM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13.7</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2026-41904</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Enrique Hogan</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101</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05/15/2026 07:09:09 AM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05/15/2026 07:34:30 AM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25.4</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FID11857613</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Alex Fletcher</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59</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05/30/2026 03:27:27 PM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05/30/2026 03:43:49 PM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16.4</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2025-78977</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Josh Cravey</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46</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05/28/2026 11:42:14 AM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05/28/2026 11:52:52 AM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10.6</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25-9999</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Adam Grant</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41</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05/07/2026 10:33:36 PM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05/07/2026 10:59:45 PM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26.2</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Alex Fletcher</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39</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05/30/2026 03:12:27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05/30/2026 03:21:25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9</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2025-78977</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Alex Fletcher</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33</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05/05/2026 01:23:51 AM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05/05/2026 01:36:13 AM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12.4</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Adam Grant</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31</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05/07/2026 10:02:33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05/07/2026 10:19:13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16.7</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Justin Edwards</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29</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05/28/2026 11:39:54 AM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05/28/2026 11:49:11 AM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9.3</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2024-67104</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Justin Edwards</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26</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05/01/2026 01:18:16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05/01/2026 01:32:29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14.2</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Adam Grant</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25</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05/07/2026 09:48:23 PM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05/07/2026 10:00:29 PM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12.1</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Thomas Crites</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25</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05/12/2026 07:53:01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05/12/2026 08:01:41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8.7</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Just occurred (lt bridger parttime)</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Min Ha</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19</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05/31/2026 11:12:40 AM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05/31/2026 11:28:44 AM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16.1</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D4-17</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Toni Lewis</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18</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05/19/2026 05:13:07 AM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05/19/2026 05:18:46 AM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5.6</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2026-43293</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Enrique Hogan</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15</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05/15/2026 06:57:12 AM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05/15/2026 07:06:13 AM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9</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FID11857613; FID1192341</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Seth Vonderhuevel</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15</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05/22/2026 11:42:35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05/22/2026 11:54:23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11.8</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26-42165</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George Witherspoon</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13</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05/26/2026 08:10:05 PM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05/26/2026 08:13:45 PM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3.7</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2026-45839</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Min Ha</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13</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05/06/2026 04:25:20 PM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05/06/2026 04:36:03 PM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10.7</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(none entered)</w:t>
            </w:r>
          </w:p>
        </w:tc>
      </w:tr>
      <w:tr>
        <w:tc>
          <w:tcPr>
            <w:tcW w:type="dxa" w:w="16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Fred Gray</w:t>
            </w:r>
          </w:p>
        </w:tc>
        <w:tc>
          <w:tcPr>
            <w:tcW w:type="dxa" w:w="9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12</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05/31/2026 11:20:41 AM ET</w:t>
            </w:r>
          </w:p>
        </w:tc>
        <w:tc>
          <w:tcPr>
            <w:tcW w:type="dxa" w:w="20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05/31/2026 11:30:08 AM ET</w:t>
            </w:r>
          </w:p>
        </w:tc>
        <w:tc>
          <w:tcPr>
            <w:tcW w:type="dxa" w:w="120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9.4</w:t>
            </w:r>
          </w:p>
        </w:tc>
        <w:tc>
          <w:tcPr>
            <w:tcW w:type="dxa" w:w="1380"/>
            <w:tcBorders>
              <w:top w:val="single" w:color="C9CFDB" w:sz="2"/>
              <w:left w:val="single" w:color="C9CFDB" w:sz="2"/>
              <w:bottom w:val="single" w:color="C9CFDB" w:sz="2"/>
              <w:right w:val="single" w:color="C9CFDB" w:sz="2"/>
            </w:tcBorders>
            <w:tcMar>
              <w:top w:type="dxa" w:w="50"/>
              <w:left w:type="dxa" w:w="90"/>
              <w:bottom w:type="dxa" w:w="50"/>
              <w:right w:type="dxa" w:w="90"/>
            </w:tcMar>
            <w:vAlign w:val="center"/>
          </w:tcPr>
          <w:p>
            <w:r>
              <w:rPr>
                <w:rFonts w:ascii="Calibri" w:cs="Calibri" w:eastAsia="Calibri" w:hAnsi="Calibri"/>
                <w:sz w:val="16"/>
                <w:szCs w:val="16"/>
              </w:rPr>
              <w:t xml:space="preserve">D4-17</w:t>
            </w:r>
          </w:p>
        </w:tc>
      </w:tr>
      <w:tr>
        <w:tc>
          <w:tcPr>
            <w:tcW w:type="dxa" w:w="16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Kasie Huston</w:t>
            </w:r>
          </w:p>
        </w:tc>
        <w:tc>
          <w:tcPr>
            <w:tcW w:type="dxa" w:w="9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12</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05/15/2026 10:50:56 AM ET</w:t>
            </w:r>
          </w:p>
        </w:tc>
        <w:tc>
          <w:tcPr>
            <w:tcW w:type="dxa" w:w="20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05/15/2026 10:52:56 AM ET</w:t>
            </w:r>
          </w:p>
        </w:tc>
        <w:tc>
          <w:tcPr>
            <w:tcW w:type="dxa" w:w="120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w:t>
            </w:r>
          </w:p>
        </w:tc>
        <w:tc>
          <w:tcPr>
            <w:tcW w:type="dxa" w:w="1380"/>
            <w:tcBorders>
              <w:top w:val="single" w:color="C9CFDB" w:sz="2"/>
              <w:left w:val="single" w:color="C9CFDB" w:sz="2"/>
              <w:bottom w:val="single" w:color="C9CFDB" w:sz="2"/>
              <w:right w:val="single" w:color="C9CFDB" w:sz="2"/>
            </w:tcBorders>
            <w:shd w:fill="F3F5F9" w:val="clear"/>
            <w:tcMar>
              <w:top w:type="dxa" w:w="50"/>
              <w:left w:type="dxa" w:w="90"/>
              <w:bottom w:type="dxa" w:w="50"/>
              <w:right w:type="dxa" w:w="90"/>
            </w:tcMar>
            <w:vAlign w:val="center"/>
          </w:tcPr>
          <w:p>
            <w:r>
              <w:rPr>
                <w:rFonts w:ascii="Calibri" w:cs="Calibri" w:eastAsia="Calibri" w:hAnsi="Calibri"/>
                <w:sz w:val="16"/>
                <w:szCs w:val="16"/>
              </w:rPr>
              <w:t xml:space="preserve">23-066800</w:t>
            </w:r>
          </w:p>
        </w:tc>
      </w:tr>
    </w:tbl>
    <w:p>
      <w:pPr>
        <w:spacing w:after="300" w:before="0"/>
      </w:pPr>
      <w:r>
        <w:rPr>
          <w:rFonts w:ascii="Calibri" w:cs="Calibri" w:eastAsia="Calibri" w:hAnsi="Calibri"/>
          <w:sz w:val="21"/>
          <w:szCs w:val="21"/>
        </w:rPr>
        <w:t xml:space="preserve">Large, tightly-clustered lookup sessions are consistent with legitimate batch investigative work (e.g., running a list of plates associated with a single case, such as a copper-theft or organized-retail-theft pattern). However, several of the sessions above reference no case number at all, or reference a Flock-internal FID rather than an agency case number, compounding the case-number integrity concerns in Sections 3 and 6. These sessions are the recommended starting point for a supervisory conversation and, where available, a plate-level (un-redacted) review.</w:t>
      </w:r>
    </w:p>
    <w:p>
      <w:pPr>
        <w:pStyle w:val="Heading1"/>
        <w:spacing w:after="200" w:before="420"/>
      </w:pPr>
      <w:r>
        <w:rPr>
          <w:rFonts w:ascii="Calibri" w:cs="Calibri" w:eastAsia="Calibri" w:hAnsi="Calibri"/>
          <w:b/>
          <w:bCs/>
          <w:color w:val="1b2a4a"/>
        </w:rPr>
        <w:t xml:space="preserve">8. Findings &amp; Recommendations</w:t>
      </w:r>
    </w:p>
    <w:p>
      <w:pPr>
        <w:pStyle w:val="Heading2"/>
        <w:spacing w:after="160" w:before="300"/>
      </w:pPr>
      <w:r>
        <w:rPr>
          <w:rFonts w:ascii="Calibri" w:cs="Calibri" w:eastAsia="Calibri" w:hAnsi="Calibri"/>
          <w:b/>
          <w:bCs/>
          <w:color w:val="1b2a4a"/>
        </w:rPr>
        <w:t xml:space="preserve">8.1 Summary of Findings</w:t>
      </w:r>
    </w:p>
    <w:p>
      <w:pPr>
        <w:pStyle w:val="ListParagraph"/>
        <w:numPr>
          <w:ilvl w:val="0"/>
          <w:numId w:val="2"/>
        </w:numPr>
        <w:spacing w:after="80"/>
      </w:pPr>
      <w:r>
        <w:rPr>
          <w:rFonts w:ascii="Calibri" w:cs="Calibri" w:eastAsia="Calibri" w:hAnsi="Calibri"/>
          <w:b w:val="false"/>
          <w:bCs w:val="false"/>
          <w:sz w:val="21"/>
          <w:szCs w:val="21"/>
        </w:rPr>
        <w:t xml:space="preserve">Case-number compliance across the audit window is 56.3%, meaning roughly 4 in 10 searches cannot be tied to a properly-recorded case number without manual reconciliation.</w:t>
      </w:r>
    </w:p>
    <w:p>
      <w:pPr>
        <w:pStyle w:val="ListParagraph"/>
        <w:numPr>
          <w:ilvl w:val="0"/>
          <w:numId w:val="2"/>
        </w:numPr>
        <w:spacing w:after="80"/>
      </w:pPr>
      <w:r>
        <w:rPr>
          <w:rFonts w:ascii="Calibri" w:cs="Calibri" w:eastAsia="Calibri" w:hAnsi="Calibri"/>
          <w:sz w:val="21"/>
          <w:szCs w:val="21"/>
        </w:rPr>
        <w:t xml:space="preserve">The dominant compliance failure is a process/field-placement issue — case numbers entered in the Reason field instead of the Case # field — rather than searches being run with no case reference whatsoever. This suggests the issue is substantially correctable through interface guidance, a required-field validation, or refresher training.</w:t>
      </w:r>
    </w:p>
    <w:p>
      <w:pPr>
        <w:pStyle w:val="ListParagraph"/>
        <w:numPr>
          <w:ilvl w:val="0"/>
          <w:numId w:val="2"/>
        </w:numPr>
        <w:spacing w:after="80"/>
      </w:pPr>
      <w:r>
        <w:rPr>
          <w:rFonts w:ascii="Calibri" w:cs="Calibri" w:eastAsia="Calibri" w:hAnsi="Calibri"/>
          <w:sz w:val="21"/>
          <w:szCs w:val="21"/>
        </w:rPr>
        <w:t xml:space="preserve">A smaller but persistent share of records (204) has no case reference anywhere and should be individually reconciled against RMS case files.</w:t>
      </w:r>
    </w:p>
    <w:p>
      <w:pPr>
        <w:pStyle w:val="ListParagraph"/>
        <w:numPr>
          <w:ilvl w:val="0"/>
          <w:numId w:val="2"/>
        </w:numPr>
        <w:spacing w:after="80"/>
      </w:pPr>
      <w:r>
        <w:rPr>
          <w:rFonts w:ascii="Calibri" w:cs="Calibri" w:eastAsia="Calibri" w:hAnsi="Calibri"/>
          <w:sz w:val="21"/>
          <w:szCs w:val="21"/>
        </w:rPr>
        <w:t xml:space="preserve">Search activity is concentrated in a small number of user accounts, and a distinct set of burst-lookup sessions warrants supervisory sampling, particularly where those sessions also lack a valid case number.</w:t>
      </w:r>
    </w:p>
    <w:p>
      <w:pPr>
        <w:pStyle w:val="Heading2"/>
        <w:spacing w:after="160" w:before="300"/>
      </w:pPr>
      <w:r>
        <w:rPr>
          <w:rFonts w:ascii="Calibri" w:cs="Calibri" w:eastAsia="Calibri" w:hAnsi="Calibri"/>
          <w:b/>
          <w:bCs/>
          <w:color w:val="1b2a4a"/>
        </w:rPr>
        <w:t xml:space="preserve">8.2 Recommendations</w:t>
      </w:r>
    </w:p>
    <w:p>
      <w:pPr>
        <w:pStyle w:val="ListParagraph"/>
        <w:numPr>
          <w:ilvl w:val="0"/>
          <w:numId w:val="2"/>
        </w:numPr>
        <w:spacing w:after="80"/>
      </w:pPr>
      <w:r>
        <w:rPr>
          <w:rFonts w:ascii="Calibri" w:cs="Calibri" w:eastAsia="Calibri" w:hAnsi="Calibri"/>
          <w:sz w:val="21"/>
          <w:szCs w:val="21"/>
        </w:rPr>
        <w:t xml:space="preserve">Enforce a required, format-validated Case # field in the Flock search interface (or agency workflow wrapper) so a search cannot be submitted without a recognizable case/incident number.</w:t>
      </w:r>
    </w:p>
    <w:p>
      <w:pPr>
        <w:pStyle w:val="ListParagraph"/>
        <w:numPr>
          <w:ilvl w:val="0"/>
          <w:numId w:val="2"/>
        </w:numPr>
        <w:spacing w:after="80"/>
      </w:pPr>
      <w:r>
        <w:rPr>
          <w:rFonts w:ascii="Calibri" w:cs="Calibri" w:eastAsia="Calibri" w:hAnsi="Calibri"/>
          <w:sz w:val="21"/>
          <w:szCs w:val="21"/>
        </w:rPr>
        <w:t xml:space="preserve">Issue a short refresher notice to all users clarifying that the Case # field — not the Reason field — is the field of record for the case number, given how widespread Flag A activity is across the user roster.</w:t>
      </w:r>
    </w:p>
    <w:p>
      <w:pPr>
        <w:pStyle w:val="ListParagraph"/>
        <w:numPr>
          <w:ilvl w:val="0"/>
          <w:numId w:val="2"/>
        </w:numPr>
        <w:spacing w:after="80"/>
      </w:pPr>
      <w:r>
        <w:rPr>
          <w:rFonts w:ascii="Calibri" w:cs="Calibri" w:eastAsia="Calibri" w:hAnsi="Calibri"/>
          <w:sz w:val="21"/>
          <w:szCs w:val="21"/>
        </w:rPr>
        <w:t xml:space="preserve">Prohibit or discourage use of the Flock-internal FID (Flock ID) as a substitute for the agency case number in the Case # field; require the RMS case number instead.</w:t>
      </w:r>
    </w:p>
    <w:p>
      <w:pPr>
        <w:pStyle w:val="ListParagraph"/>
        <w:numPr>
          <w:ilvl w:val="0"/>
          <w:numId w:val="2"/>
        </w:numPr>
        <w:spacing w:after="80"/>
      </w:pPr>
      <w:r>
        <w:rPr>
          <w:rFonts w:ascii="Calibri" w:cs="Calibri" w:eastAsia="Calibri" w:hAnsi="Calibri"/>
          <w:sz w:val="21"/>
          <w:szCs w:val="21"/>
        </w:rPr>
        <w:t xml:space="preserve">Conduct a supervisory review of the 204 no-case-number searches in Appendix A, and of the highest-volume burst sessions in Appendix E, to confirm each is tied to a legitimate, documented investigative purpose.</w:t>
      </w:r>
    </w:p>
    <w:p>
      <w:pPr>
        <w:pStyle w:val="ListParagraph"/>
        <w:numPr>
          <w:ilvl w:val="0"/>
          <w:numId w:val="2"/>
        </w:numPr>
        <w:spacing w:after="80"/>
      </w:pPr>
      <w:r>
        <w:rPr>
          <w:rFonts w:ascii="Calibri" w:cs="Calibri" w:eastAsia="Calibri" w:hAnsi="Calibri"/>
          <w:sz w:val="21"/>
          <w:szCs w:val="21"/>
        </w:rPr>
        <w:t xml:space="preserve">If plate-level (un-redacted) data can be made available under appropriate authorization, re-run the repeated-search analysis at the plate level to confirm whether burst sessions reflect single-plate re-checks, multi-plate case batches, or exploratory browsing.</w:t>
      </w:r>
    </w:p>
    <w:p>
      <w:pPr>
        <w:pStyle w:val="ListParagraph"/>
        <w:numPr>
          <w:ilvl w:val="0"/>
          <w:numId w:val="2"/>
        </w:numPr>
        <w:spacing w:after="80"/>
      </w:pPr>
      <w:r>
        <w:rPr>
          <w:rFonts w:ascii="Calibri" w:cs="Calibri" w:eastAsia="Calibri" w:hAnsi="Calibri"/>
          <w:sz w:val="21"/>
          <w:szCs w:val="21"/>
        </w:rPr>
        <w:t xml:space="preserve">Establish a recurring (e.g., monthly) audit cadence using the methodology in Section 2 so that case-number compliance and usage concentration can be trended over time rather than reviewed only retrospectively.</w:t>
      </w:r>
    </w:p>
    <w:p>
      <w:r>
        <w:br w:type="page"/>
      </w:r>
    </w:p>
    <w:p>
      <w:pPr>
        <w:pStyle w:val="Heading1"/>
        <w:spacing w:after="200" w:before="420"/>
      </w:pPr>
      <w:r>
        <w:rPr>
          <w:rFonts w:ascii="Calibri" w:cs="Calibri" w:eastAsia="Calibri" w:hAnsi="Calibri"/>
          <w:b/>
          <w:bCs/>
          <w:color w:val="1b2a4a"/>
        </w:rPr>
        <w:t xml:space="preserve">Appendix A — Searches Lacking Any Identifiable Case Number</w:t>
      </w:r>
    </w:p>
    <w:p>
      <w:pPr>
        <w:spacing w:after="160"/>
      </w:pPr>
      <w:r>
        <w:rPr>
          <w:rFonts w:ascii="Calibri" w:cs="Calibri" w:eastAsia="Calibri" w:hAnsi="Calibri"/>
          <w:i/>
          <w:iCs/>
          <w:color w:val="6b7280"/>
          <w:sz w:val="19"/>
          <w:szCs w:val="19"/>
        </w:rPr>
        <w:t xml:space="preserve">Complete list of all 204 searches in which the Case # field is blank and no case-number-shaped value could be recovered from the Reason field. Times shown in America/New_York local time. Sorted by user, then by search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2600"/>
        <w:gridCol w:w="2280"/>
        <w:gridCol w:w="1400"/>
      </w:tblGrid>
      <w:tr>
        <w:trPr>
          <w:tblHeader/>
        </w:trPr>
        <w:tc>
          <w:tcPr>
            <w:tcW w:type="dxa" w:w="19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User</w:t>
            </w:r>
          </w:p>
        </w:tc>
        <w:tc>
          <w:tcPr>
            <w:tcW w:type="dxa" w:w="19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Time (ET)</w:t>
            </w:r>
          </w:p>
        </w:tc>
        <w:tc>
          <w:tcPr>
            <w:tcW w:type="dxa" w:w="26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Offense Category</w:t>
            </w:r>
          </w:p>
        </w:tc>
        <w:tc>
          <w:tcPr>
            <w:tcW w:type="dxa" w:w="228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Reason Text Given</w:t>
            </w:r>
          </w:p>
        </w:tc>
        <w:tc>
          <w:tcPr>
            <w:tcW w:type="dxa" w:w="14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Type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Craig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01:56:39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37909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Craig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01:56:55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37909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Craig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01:58:06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37909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Craig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02:09:35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37909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Craig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02:16:25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37909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Deborah Marberry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01:18:00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Entering Auto</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Desmond Raines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01:14:42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accident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Desmond Raines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01:17:12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accident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08:01:39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12:59:57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07:03:43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 (Domestic)</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domestic</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07:06:54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 (Domestic)</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domestic</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02:25:50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02:25:55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03:01:03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03:02:08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03:05:12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03:08:18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01:03:25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01:05:42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09:40:41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09:42:00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09:43:07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09:50:25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10:17:17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10:42:27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11:44:33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10:53:48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10:54:26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10:54:45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10:56:14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10:56:41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11:20:21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11:49:17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11:53:24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11:55:28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11:57:28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12:04:29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shooting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03:19:59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03:20:15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03:20:29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03:20:43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03:21:03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03:22:21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03:40:56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 person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03:44:46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03:46:10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 person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03:47:42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11:29:37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Woodford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10:02:47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 Person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03:24:26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03:24:32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03:26:24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03:34:35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08:42:26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12:24:34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04:00:07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03:36:29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06:36:54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07:33:39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07:33:41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07:33:51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07:33:53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07:34:00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07:34:56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07:35:02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07:35:04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07:35:07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07:35:14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04:43:52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04:45:38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04:46:26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04:59:44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05:07:16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05:09:20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05:09:31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searchSummary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05:14:35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05:16:15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05:17:25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Investigation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09:04:50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Investigative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07:13:23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07:16:14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07:49:39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07:50:09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07:50:21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08:00:10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08:00:22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08:00:45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08:03:30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08:13:30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10:26:41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10:28:02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10:29:09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10:39:41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10:45:29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10:53:52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10:57:10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10:59:28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11:04:06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11:04:59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11:05:33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11:05:42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11:05:50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11:06:14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11:06:32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11:10:34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11:12:04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11:13:11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11:13:23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11:14:28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11:14:34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11:14:37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Jazmine Bussey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04:03:45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 veh</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Jazmine Bussey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04:05:29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car</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Jazmine Bussey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04:05:37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car</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Jazmine Bussey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04:07:14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car</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Jazmine Bussey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04:07:20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car</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Joanna Stokes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10:39:21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roswell pd</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04:19:23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04:19:55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04:25:30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Traffic Infraction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09:27:06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09:27:09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11:22:35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07:01:12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07:34:39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07:48:33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Trespass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tag</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11:44:15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na</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02:14:26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na</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02:15:32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na</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02:16:06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na</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04:12:06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na</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Lee Rohrbach</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08:35:45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Lee Rohrbach</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08:36:00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Lee Rohrbach</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08:36:26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Lee Rohrbach</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08:37:02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01:46:41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01:50:31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01:53:58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01:57:38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02:01:31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Michael Jones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02:01:51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Agg 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Robbie Joiner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09:25:49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Roswell P.D.</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03:27:38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 at mall</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03:28:02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 at mall</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03:30:53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 at mall</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01:25:57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02:02:48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02:03:04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02:04:27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02:09:37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02:10:15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02:10:34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02:14:16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02:16:03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02:16:20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02:17:36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02:18:50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02:20:39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02:21:32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02:21:40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02:21:56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02:21:59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02:22:08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02:22:38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02:23:57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02:24:06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02:24:19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02:24:43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02:25:24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02:27:38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02:32:28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02:38:14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02:44:05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02:47:34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02:49:13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4c1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03:02:59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11:15:55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11:16:12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11:16:31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12:49:38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subject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06:47:17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Bolo monroe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06:47:37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Bolo monroe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Shenisha Hutchings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09:47:09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Driving without consent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01:24:22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01:26:46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01:32:18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01:38:22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01:38:34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01:38:58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01:41:10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Steve Gatlin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12:56:14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09:37:01 AM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2025cv083689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09:44:16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victim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09:44:32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victim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09:48:49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victim vehicle</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08:07:07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Welfare Check</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victim vehicle</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10:53:02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10:54:33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10:54:41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Tyrelle Stephens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08:10:03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 ID</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Tyrelle Stephens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08:10:25 PM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 ID</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Tyrelle Stephens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09:03:39 PM ET</w:t>
            </w:r>
          </w:p>
        </w:tc>
        <w:tc>
          <w:tcPr>
            <w:tcW w:type="dxa" w:w="26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Suspect ID</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Tyrelle Stephens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10:07:29 AM ET</w:t>
            </w:r>
          </w:p>
        </w:tc>
        <w:tc>
          <w:tcPr>
            <w:tcW w:type="dxa" w:w="26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2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Suspect ID</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bl>
    <w:p>
      <w:r>
        <w:br w:type="page"/>
      </w:r>
    </w:p>
    <w:p>
      <w:pPr>
        <w:pStyle w:val="Heading1"/>
        <w:spacing w:after="200" w:before="420"/>
      </w:pPr>
      <w:r>
        <w:rPr>
          <w:rFonts w:ascii="Calibri" w:cs="Calibri" w:eastAsia="Calibri" w:hAnsi="Calibri"/>
          <w:b/>
          <w:bCs/>
          <w:color w:val="1b2a4a"/>
        </w:rPr>
        <w:t xml:space="preserve">Appendix B — Case Number Entered in the Reason Field (Case # Field Left Blank)</w:t>
      </w:r>
    </w:p>
    <w:p>
      <w:pPr>
        <w:spacing w:after="160"/>
      </w:pPr>
      <w:r>
        <w:rPr>
          <w:rFonts w:ascii="Calibri" w:cs="Calibri" w:eastAsia="Calibri" w:hAnsi="Calibri"/>
          <w:i/>
          <w:iCs/>
          <w:color w:val="6b7280"/>
          <w:sz w:val="19"/>
          <w:szCs w:val="19"/>
        </w:rPr>
        <w:t xml:space="preserve">Complete list of all 1022 searches in which the Case # field was left blank but a recognizable case-number-shaped value was found appended to the Reason field — indicating the case number was entered in the wrong field. Times shown in America/New_York local time. Sorted by user, then by search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2500"/>
        <w:gridCol w:w="2380"/>
        <w:gridCol w:w="1400"/>
      </w:tblGrid>
      <w:tr>
        <w:trPr>
          <w:tblHeader/>
        </w:trPr>
        <w:tc>
          <w:tcPr>
            <w:tcW w:type="dxa" w:w="19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User</w:t>
            </w:r>
          </w:p>
        </w:tc>
        <w:tc>
          <w:tcPr>
            <w:tcW w:type="dxa" w:w="19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Time (ET)</w:t>
            </w:r>
          </w:p>
        </w:tc>
        <w:tc>
          <w:tcPr>
            <w:tcW w:type="dxa" w:w="25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Offense Category</w:t>
            </w:r>
          </w:p>
        </w:tc>
        <w:tc>
          <w:tcPr>
            <w:tcW w:type="dxa" w:w="238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Apparent Case # (in Reason field)</w:t>
            </w:r>
          </w:p>
        </w:tc>
        <w:tc>
          <w:tcPr>
            <w:tcW w:type="dxa" w:w="14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Type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03:24:20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03:33:14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04:30:15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05:05:44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05:27:03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05:38:59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2025-72041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05:39:32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2025-72041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05:58:46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06:08:29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06:31:53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06:57:35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06:57:41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07:07:41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07:08:07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07:12:16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07:14:20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07:15:07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07:19:12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07:24:29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07:24:40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07:34:46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07:38:36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07:39:03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07:42:40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07:43:54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07:51:11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07:51:22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07:56:56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08:03:00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08:03:11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08:08:20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08:08:24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08:08:31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08:22:21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08:22:29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08:33:34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08:33:45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08:37:04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08:37:11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08:53:37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09:41:16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09:42:46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09:55:19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09:57:02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10:33:52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10:34:58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10:35:49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10:45:59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10:46:07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11:02:30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01:01:03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01:03:47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01:07:42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01:20:44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01:38:13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01:43:47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01:45:35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01:47:43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01:52:43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01:57:17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01:59:36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02:13:51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02:14:38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02:15:41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02:18:50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02:19:36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02:20:44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02:22:18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02:22:43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05:07:17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05:07:27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05:31:40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05:32:29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05:32:45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05:33:05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05:33:36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05:36:38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06:12:40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06:13:51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06:14:03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06:14:16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09:53:23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2026-37866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09:53:34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2026-37866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09:54:36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2026-37866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11:19:18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11:19:41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12:56:04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02:34:37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06:08:12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11:23:05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11:23:18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01:35:19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05:31:58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05:32:14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06:53:05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08:01:54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08:09:19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08:17:58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08:30:05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08:46:20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08:51:14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08:53:30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08:54:58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09:12:36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09:15:32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09:21:39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09:32:08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09:34:14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09:36:02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09:36:07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09:37:51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09:39:39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09:40:21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09:41:18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09:44:06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09:48:23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09:49:34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09:49:55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09:51:06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09:51:11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09:51:31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09:52:07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09:52:10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09:52:15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09:52:24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09:52:28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09:52:33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09:52:36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09:52:43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09:53:04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09:53:45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09:54:24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09:55:01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09:55:23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09:55:32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09:56:38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09:57:02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09:58:08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09:59:05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10:00:29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10:02:33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10:03:23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10:04:24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10:05:16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10:06:43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10:07:48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10:08:49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10:08:59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10:09:16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10:09:52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10:10:04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10:10:54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10:11:12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10:11:51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10:12:14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10:12:25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10:12:29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10:12:38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10:13:09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10:13:12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10:13:54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10:14:12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10:14:19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10:14:36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10:16:00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10:16:04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10:16:53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10:17:41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10:18:16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10:19:13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10:21:30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10:22:40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10:22:44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10:25:42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10:27:02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10:28:19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10:31:33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10:33:36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10:34:24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10:35:01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10:35:20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10:36:32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10:38:04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10:39:21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10:40:08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10:42:13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10:42:55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10:44:06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10:44:35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10:44:38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10:44:40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10:44:55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10:46:05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10:47:56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10:48:11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10:48:14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10:48:17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10:48:36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10:50:02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10:51:12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10:52:19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10:53:17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10:53:33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10:53:56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10:54:08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10:54:43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10:55:45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10:56:37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10:56:49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10:57:18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10:57:37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10:57:46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10:57:59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10:58:09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10:58:25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10:59:08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10:59:45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02:09:20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08:14:42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08:14:47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08:14:52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08:56:01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08:57:17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09:10:07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10:25:06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10:43:27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10:59:36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11:27:02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11:39:06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11:46:00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11:54:09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12:07:07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12:16:52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08:48:58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08:49:15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09:08:23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09:20:24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09:37:04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10:07:16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10:15:49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08:44:55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08:45:03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2026-1296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04:37:35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04:44:45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04:52:36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05:33:03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06:43:40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07:22:30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07:23:15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01:00:15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01:00:23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01:00:40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01:00:46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01:00:52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01:01:02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01:01:16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01:01:26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01:02:46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01:02:53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01:04:56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01:08:18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01:14:09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01:14:13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01:15:53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01:17:46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01:17:51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01:19:58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01:20:32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01:23:51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01:23:54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01:24:11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01:24:54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01:25:24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01:25:26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01:26:34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01:28:29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01:28:31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01:29:06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01:29:10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01:29:13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01:29:29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01:30:09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01:30:21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01:30:23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01:30:26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01:30:37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01:31:15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01:31:18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01:31:26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01:31:38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01:31:43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01:32:12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01:32:14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01:32:17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01:32:41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01:32:44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01:32:58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01:33:22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01:33:33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01:35:20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01:36:13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01:53:55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10:06:25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10:06:29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10:06:34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12:25:17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12:25:30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12:27:45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12:29:08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12:57:51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12:58:06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12:58:15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12:57:36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12:58:11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2026-35667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01:37:31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01:37:42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02:55:58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03:05:03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03:21:21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09:42:57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09:44:08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09:49:28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10:07:41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10:09:51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10:12:17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10:12:35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10:14:07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10:22:54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10:23:15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10:55:45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10:10:31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10:10:41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10:10:52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10:11:00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10:11:08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10:50:59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12:05:54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12:07:54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12:08:28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12:08:44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12:09:08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12:09:27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01:35:43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01:42:30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01:45:39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01:46:38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01:47:10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01:49:50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01:50:14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02:11:32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02:12:12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02:16:15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02:21:30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02:23:56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02:27:50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02:28:45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02:29:19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02:29:43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02:29:57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04:01:45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04:02:09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04:03:16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04:11:16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04:11:41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04:12:09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04:12:16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04:12:51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04:13:16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10:29:41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10:31:50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02:47:49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02:48:16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02:50:02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03:16:40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03:17:53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09:38:16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09:38:39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09:38:52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2026-00037510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10:32:40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10:34:18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11:13:35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2026-00037611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Ansley Smith</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11:45:08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2026-212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01:33:43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2026-37513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01:34:01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03:22:54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2026-37599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03:23:48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2026-37599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03:38:30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2026-37599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03:38:47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2026-37599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03:48:06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2026-37599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10:44:17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04:32:59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04:39:28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04:42:21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04:43:01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04:56:39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08:57:25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08:57:40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08:58:20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08:59:52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09:44:54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02:52:07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02:59:32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02:59:34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02:59:35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02:59:36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02:59:39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02:59:42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03:17:45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11:07:06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11:07:59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11:08:36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11:12:09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11:15:10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03:55:52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03:57:29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03:57:59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04:05:39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04:09:34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04:10:44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04:11:26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04:12:09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04:18:03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04:18:37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04:19:11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04:23:44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04:25:15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10:01:42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10:32:09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2026-38286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10:51:22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10:56:08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10:56:18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10:56:29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02:17:17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757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02:17:29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757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11:57:14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2026-38631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01:01:17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01:15:41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01:17:20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01:17:27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01:23:15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01:23:46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01:28:00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01:31:21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01:31:43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2026-38652</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08:28:14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08:39:41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10:44:17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10:50:56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10:56:03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10:56:35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10:56:56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03:09:18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03:09:27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03:09:39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03:10:25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03:10:59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04:35:16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05:40:19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2026-39039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05:40:27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2026-39039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05:41:22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2026-39039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05:41:36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2026-39039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05:41:43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2026-39039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12:20:11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12:20:21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12:16:30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10:20:32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2026-4206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10:20:32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2026-4206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01:16:42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2026-4206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09:47:07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09:56:24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09:57:23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09:57:36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09:58:14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09:59:05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10:00:14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2026-40530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01:50:01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02:02:08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02:10:52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02:11:27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06:55:21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Christopher Collis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11:48:34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2026-38277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Corey Ostrow</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09:03:31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Corey Ostrow</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09:03:49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Corey Ostrow</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09:03:54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Corey Ostrow</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09:04:32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Corey Ostrow</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09:08:23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03:55:57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03:56:14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03:56:48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03:57:34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04:19:14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05:20:58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 844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12:00:41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Illegal Dumping/Littering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668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12:05:01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670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12:05:05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670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12:05:12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670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12:05:16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 670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12:05:35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 670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04:55:21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2026-3208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04:55:24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2026-3208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04:55:28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2026-3208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08:28:21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cfs#529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08:28:30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cfs#529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10:36:00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cfs#529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08:42:45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09:11:34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09:12:32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09:13:43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09:17:36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09:18:56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09:19:27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09:19:53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09:21:55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09:25:09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09:27:21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09:31:37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09:32:02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09:35:42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09:40:04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09:51:04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09:51:10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09:52:21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10:01:21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10:10:10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10:10:25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08:06:38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11:20:49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2026-39119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05:14:28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2026-39119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11:01:19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26-39775</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11:01:25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26-39775</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10:08:41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10:09:00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10:09:18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10:09:22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10:09:31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10:09:46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10:10:16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10:12:03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10:12:08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10:12:33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10:12:55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Elijah White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10:13:53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2026-40090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10:05:48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2026-32227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04:13:49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04:15:42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04:31:30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05:17:16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08:22:35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08:56:41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08:56:49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08:56:59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06:56:05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06:56:17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06:57:21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07:11:43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07:13:43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08:11:47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08:12:34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08:47:58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09:20:22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09:23:52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09:26:11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09:29:47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09:32:27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09:34:28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09:38:11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09:44:16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06:25:43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2026-33541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06:26:26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2026-33541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06:27:04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2026-33541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06:28:38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2026-33541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07:04:47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2026-33541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Jeremy Holmes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02:29:23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2026-37709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01:56:37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01:56:59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01:59:29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01:59:42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02:00:16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02:00:50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02:01:04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02:01:08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02:01:39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02:02:10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02:02:53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03:02:38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03:08:37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03:12:31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Arson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2026-38651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11:26:33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11:27:00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11:27:07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11:27:19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11:28:48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11:28:51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11:29:39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11:29:43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11:31:45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11:32:02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11:32:06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11:32:19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11:32:33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2026-00038936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04:26:36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04:28:08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04:30:23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04:31:49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04:32:08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04:33:45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04:45:58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04:47:01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04:47:14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04:52:50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05:01:09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05:05:28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05:24:00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2026-00039027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06:26:32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06:27:02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06:33:01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2026-00040301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08:28:18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 (Domestic)</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2026-00040501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Joseph Callaway</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04:13:28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2026-187000</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Joseph Crumpler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07:41:25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Joseph Crumpler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07:43:40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Joseph Crumpler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07:45:04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Joseph Crumpler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07:46:22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02:17:57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02:18:24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02:27:01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02:28:37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02:29:32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02:30:00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02:30:50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02:32:24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2026-39831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01:00:39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2026-74574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01:01:25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2026-74574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01:03:00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2026-74574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01:05:00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2026-74574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01:14:51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2026-74574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01:01:46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01:08:37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01:18:16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01:19:56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01:19:59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01:20:07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01:20:51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01:20:59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01:21:17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01:21:36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01:21:47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01:22:01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01:22:40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01:22:44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01:23:01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01:23:12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01:24:11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01:24:35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01:24:46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01:26:30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01:26:33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01:27:57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01:28:55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01:29:14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01:30:35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01:30:39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01:30:41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01:32:29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01:36:27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01:38:56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01:57:13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02:44:40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02:51:22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03:00:26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03:00:31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03:06:43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07:17:07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09:46:57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09:46:59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09:47:01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09:47:18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09:50:23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09:51:46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09:52:24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09:55:11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09:55:16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10:05:13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10:05:29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10:05:32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10:08:11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10:08:13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10:08:33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10:14:38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10:47:35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11:02:08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11:08:25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11:10:08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11:13:11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11:47:24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12:10:46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12:49:37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12:50:09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12:50:37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12:55:17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12:56:41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12:56:45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03:17:23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03:24:28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06:50:20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06:51:04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06:52:12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08:35:06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03:32:37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03:44:16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03:48:33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08:09:10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08:42:13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05/05/2026 08:52:44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02:47:36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23CR81339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02:49:27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23CR81339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04:55:53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22CR80904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05:10:34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25cr85798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05:20:46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25cr85798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02:18:53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22CR80889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12:12:48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Material Witness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25CR85798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11:21:43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2026-38021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11:22:10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2026-38021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11:27:17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2026-38021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11:57:38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2026-38021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01:47:55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2026-28395</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04:00:24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04:00:40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04:03:17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04:04:36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04:07:19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04:07:39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MELANIE HOFMANN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07:03:27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CFS261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MELANIE HOFMANN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08:20:46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Stalking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2026-38566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MELANIE HOFMANN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08:23:43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Stalking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2026-38566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Malcolm Bryant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11:19:27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Malcolm Bryant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11:20:13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Malcolm Bryant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11:23:07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Malcolm Bryant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05/09/2026 11:23:27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Matthew Grube</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07:23:16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Kidnapping/Abduction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2026-37662</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04:28:03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04:29:26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04:45:30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04:45:48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04:47:19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05:05:51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2026-37621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01:41:18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01:41:39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01:41:54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01:42:16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01:42:36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01:49:17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01:50:34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01:51:23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01:52:02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01:54:11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02:06:44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02:07:21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02:07:38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02:09:24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02:09:50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02:10:36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03:13:43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03:15:21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03:15:27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03:17:39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2026-38181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05:06:37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05:06:45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05:07:50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05:07:54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04:10:46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04:11:08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04:12:10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04:13:09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04:14:46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04:15:59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04:17:29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04:23:06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04:25:20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04:25:54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04:26:21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04:26:52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04:27:21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04:28:29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04:29:20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04:30:41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04:32:16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04:33:31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04:35:20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04:35:46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04:36:03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04:40:31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04:43:04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05:10:37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05:11:18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2026-39073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09:20:29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09:29:35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09:38:59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09:40:09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09:45:14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09:45:53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09:48:37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09:50:51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11:44:49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11:44:59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11:50:21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2026-39417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09:31:15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Juvenile Delinquency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2026-40676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09:31:27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Juvenile Delinquency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2026-40676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09:32:34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Juvenile Delinquency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2026-40676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09:40:43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Juvenile Delinquency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2026-40676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10:30:10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2026-39748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10:30:30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2026-39748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10:30:34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2026-39748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10:35:17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2026-39748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10:35:35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2026-39748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12:31:16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12:33:11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12:36:31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12:37:37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12:39:11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12:39:50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12:45:56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12:46:14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12:46:37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Reginald Tillman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12:55:03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2026-40301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Robbie Joiner</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11:56:24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2026-38444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Robbie Joiner</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12:08:42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2026-38444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04:14:59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04:20:50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04:23:46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04:24:09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04:24:26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04:28:10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04:31:35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04:32:30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04:40:09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04:40:21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04:42:17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04:42:52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04:47:07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05:02:13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05:03:14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05:07:23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26-38228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05:31:06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26-39047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07:01:37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26-39047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07:02:00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26-39047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07:02:30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26-39047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07:03:12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26-39047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02:03:17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02:03:35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02:04:27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02:05:55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02:07:01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02:07:59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02:13:07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02:13:19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02:14:12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02:14:57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02:57:27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02:58:10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02:58:34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02:58:57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02:59:14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03:02:00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03:03:35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03:04:18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03:05:20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08:42:02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08:51:39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10:09:47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10:18:57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10:19:15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10:19:32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10:20:24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10:20:38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12:22:04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12:24:23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12:25:01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12:26:52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12:27:26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12:34:43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12:35:03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12:35:14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12:35:34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12:36:28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12:38:19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12:38:48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12:39:58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12:41:29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12:45:34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12:45:52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12:46:05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12:46:12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12:48:30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12:49:09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12:49:36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12:51:40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12:51:48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12:53:54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12:55:27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26-23674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10:04:16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10:04:39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10:22:02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11:12:29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11:26:39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11:50:45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05/01/2026 11:55:02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12:09:51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26-37513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02:23:21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03:58:47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05:24:07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Shane Benton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06:04:16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2026-39526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08:12:02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08:12:53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08:47:09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08:47:23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08:48:00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08:48:13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08:51:20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05/03/2026 08:52:32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05/03/2026 10:19:16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01:00:55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10:16:19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10:25:03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10:27:11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10:27:22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12:17:23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12:18:13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2026-38264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12:25:55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2026-38447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12:26:33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2026-38447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12:32:52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26-38447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12:34:36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26-38447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12:40:00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26-38447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12:47:16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12:47:41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26-38286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02:46:44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26-38919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02:48:04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26-38919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09:02:05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26-38286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02:39:49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02:40:28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02:43:17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02:43:35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02:46:58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02:47:07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02:47:49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02:48:50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02:48:55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02:49:51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02:51:16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convoy</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02:56:55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03:01:49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03:04:26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03:08:12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03:08:18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03:16:22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03:17:27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03:20:20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03:47:02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03:47:41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03:48:25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03:49:54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03:52:16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03:52:53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03:54:29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03:55:37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03:57:50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03:58:02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03:58:18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04:01:46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26-39569</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04:03:50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10:13:41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10:14:10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10:20:56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10:21:06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10:21:50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10:22:49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10:23:07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10:23:28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10:25:04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10:27:37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11:05:07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11:05:58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11:06:09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11:30:03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11:35:19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11:35:39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11:36:56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11:45:59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11:47:13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11:51:02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11:51:04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11:52:11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12:28:33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12:28:44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12:29:23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12:30:14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freeform</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12:32:20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12:44:32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12:46:10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12:46:46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12:49:33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Homicide/Death Investigation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26-39343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visual</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01:11:13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01:11:49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01:12:10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01:15:46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07:35:18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07:35:58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05/08/2026 07:36:51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09:24:10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09:24:44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05/11/2026 09:25:14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26-39667</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05/09/2026 02:44:22 PM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2026-40146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09:03:42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09:05:46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09:06:27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09:07:40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09:13:04 AM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Kent</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05/10/2026 09:21:51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2026-40358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19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05/04/2026 03:13:25 PM ET</w:t>
            </w:r>
          </w:p>
        </w:tc>
        <w:tc>
          <w:tcPr>
            <w:tcW w:type="dxa" w:w="25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Financial Crime (Embezzlement/Fraud)</w:t>
            </w:r>
          </w:p>
        </w:tc>
        <w:tc>
          <w:tcPr>
            <w:tcW w:type="dxa" w:w="23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2026-32438</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19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10:22:38 AM ET</w:t>
            </w:r>
          </w:p>
        </w:tc>
        <w:tc>
          <w:tcPr>
            <w:tcW w:type="dxa" w:w="25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Financial Crime (Embezzlement/Fraud)</w:t>
            </w:r>
          </w:p>
        </w:tc>
        <w:tc>
          <w:tcPr>
            <w:tcW w:type="dxa" w:w="23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2026-32438</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bl>
    <w:p>
      <w:r>
        <w:br w:type="page"/>
      </w:r>
    </w:p>
    <w:p>
      <w:pPr>
        <w:pStyle w:val="Heading1"/>
        <w:spacing w:after="200" w:before="420"/>
      </w:pPr>
      <w:r>
        <w:rPr>
          <w:rFonts w:ascii="Calibri" w:cs="Calibri" w:eastAsia="Calibri" w:hAnsi="Calibri"/>
          <w:b/>
          <w:bCs/>
          <w:color w:val="1b2a4a"/>
        </w:rPr>
        <w:t xml:space="preserve">Appendix C — Flock Internal ID (FID) Entered in the Case # Field</w:t>
      </w:r>
    </w:p>
    <w:p>
      <w:pPr>
        <w:spacing w:after="160"/>
      </w:pPr>
      <w:r>
        <w:rPr>
          <w:rFonts w:ascii="Calibri" w:cs="Calibri" w:eastAsia="Calibri" w:hAnsi="Calibri"/>
          <w:i/>
          <w:iCs/>
          <w:color w:val="6b7280"/>
          <w:sz w:val="19"/>
          <w:szCs w:val="19"/>
        </w:rPr>
        <w:t xml:space="preserve">Complete list of all 347 searches in which the Case # field contains a Flock-internal object reference ("FID ########") rather than an agency case/incident number. Times shown in America/New_York local time. Sorted by user, then by search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680"/>
        <w:gridCol w:w="2000"/>
        <w:gridCol w:w="1400"/>
      </w:tblGrid>
      <w:tr>
        <w:trPr>
          <w:tblHeader/>
        </w:trPr>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User</w:t>
            </w:r>
          </w:p>
        </w:tc>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Time (ET)</w:t>
            </w:r>
          </w:p>
        </w:tc>
        <w:tc>
          <w:tcPr>
            <w:tcW w:type="dxa" w:w="268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Offense Category</w:t>
            </w:r>
          </w:p>
        </w:tc>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Case # Field (as entered)</w:t>
            </w:r>
          </w:p>
        </w:tc>
        <w:tc>
          <w:tcPr>
            <w:tcW w:type="dxa" w:w="14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Type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05/12/2026 09:00:58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05/13/2026 07:57:33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11957926</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06:06:45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06:10:53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06:16:49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06:39:10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06:41:19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06:51:27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06:54:18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06:57:12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06:58:35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06:59:01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07:00:15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07:01:08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07:01:27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07:02:40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07:03:11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07:03:30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07:03:41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07:04:15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07:04:21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07:04:31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07:04:56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07:06:13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07:09:09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07:09:37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07:09:50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07:10:05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07:11:47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07:12:16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07:12:58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07:13:15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07:13:19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07:13:25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07:13:32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07:13:39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07:13:51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07:13:54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07:14:09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07:14:13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07:14:27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07:14:33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07:14:38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07:14:42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07:14:46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07:15:06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07:15:16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07:15:25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07:15:33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07:17:11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07:17:17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07:17:23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07:17:31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07:17:55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07:18:00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07:18:14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07:18:32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07:18:36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07:18:48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07:18:51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07:18:53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07:19:00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07:19:02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07:19:06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07:19:09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07:19:14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07:19:21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07:19:25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07:19:31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07:19:38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07:19:46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07:19:51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07:19:55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07:20:00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07:20:08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07:20:19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07:20:27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07:20:36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07:21:00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07:21:17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07:21:20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07:21:24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07:21:38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07:21:57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07:22:02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07:22:26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07:22:30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07:22:33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07:22:39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07:22:49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07:22:59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07:23:08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07:24:27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07:25:04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07:26:00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07:27:26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07:27:30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07:27:36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07:27:54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07:27:59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07:28:05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07:28:08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07:28:15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07:28:22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07:28:33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07:28:45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07:28:56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07:29:33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07:30:29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07:30:34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07:31:13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07:31:38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07:31:50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07:32:16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07:32:39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07:32:50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07:33:09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07:33:12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07:33:14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07:33:18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07:33:22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07:33:40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07:33:56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07:34:05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07:34:30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07:36:49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07:37:06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07:37:33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07:37:43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07:37:49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07:40:34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07:40:38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07:40:50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07:40:54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07:43:07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07:43:23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07:44:01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07:44:04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07:44:12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07:44:31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07:44:48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07:44:53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07:45:00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07:45:10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07:45:13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07:45:17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09:36:59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09:37:19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09:41:25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09:44:48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09:45:48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10:10:34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04:47:38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04:48:02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04:48:24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04:48:40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04:49:26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04:51:20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04:52:43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04:52:56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04:54:24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04:54:38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04:57:07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04:57:21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04:57:33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04:58:05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05:00:11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05:00:35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05:00:58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05:01:09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05:02:59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05/18/2026 05:03:03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05:03:20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03:10:06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05/19/2026 03:10:54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03:12:36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FID1192341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11:51:08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05/21/2026 11:51:12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11:51:18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05/21/2026 11:52:20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11:52:24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05/21/2026 11:52:28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12:02:09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02:47:33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05/22/2026 02:48:39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02:48:44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05/22/2026 10:28:44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10:29:13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05/22/2026 10:37:07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12:21:43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05/22/2026 12:21:53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01:02:23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01:07:52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03:13:47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03:14:21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03:16:31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03:26:00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03:31:13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03:32:32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03:35:20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03:37:22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10:49:50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10:58:41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11:02:34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11:13:52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11:18:04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11:50:15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11:50:24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11:54:03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11:57:38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12:05:58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12:54:02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09:39:49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10:06:17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10:06:34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10:06:38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10:06:41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10:06:43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10:07:15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10:07:19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10:07:21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10:07:23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10:09:44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10:10:00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05/27/2026 10:21:39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11:02:28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01:12:20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01:33:29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01:41:05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01:43:31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02:09:53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02:31:53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02:33:36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02:43:07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02:45:43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02:52:03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03:48:11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03:49:19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11968407P6473485</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05:53:52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07:23:32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202467104</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07:23:50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07:28:15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07:29:03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07:33:58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07:34:51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07:35:02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07:42:59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08:54:21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08:55:22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08:56:56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09:00:44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09:01:26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09:02:31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09:03:55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09:04:22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09:09:18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09:10:45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09:13:09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09:13:37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09:14:13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09:15:48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09:16:48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09:17:36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09:23:13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09:26:15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09:32:54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09:34:01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09:34:43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09:35:23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09:36:34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09:38:06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09:38:45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09:40:33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09:41:17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09:44:51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09:58:07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10:00:27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10:01:06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10:02:44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10:03:59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10:14:54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10:37:34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11:02:50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11:06:42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11:08:26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11:10:46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11:35:13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11:45:42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11:48:04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11:49:22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11:52:22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11:53:48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11:56:09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12:08:48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12:10:41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12:40:16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12:54:29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01:07:05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01:07:56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01:08:10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01:08:15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01:09:21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01:12:52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01:13:10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01:13:28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01:16:21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01:47:42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02:25:14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02:28:52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02:33:00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02:44:01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03:46:25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04:26:53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04:27:07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04:28:04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04:28:58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04:29:39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04:30:20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04:31:29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04:32:12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04:34:23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04:35:06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04:41:10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04:43:36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05:02:19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07:10:14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07:19:39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07:23:45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07:26:01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07:49:13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07:51:45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08:03:30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11:00:43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11:09:58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11:26:41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11:26:50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11:28:33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11:40:57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11:41:02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11:41:08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11:55:44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12:21:08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12:21:28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12:29:19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12:35:41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12:44:52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12:57:44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bl>
    <w:p>
      <w:r>
        <w:br w:type="page"/>
      </w:r>
    </w:p>
    <w:p>
      <w:pPr>
        <w:pStyle w:val="Heading1"/>
        <w:spacing w:after="200" w:before="420"/>
      </w:pPr>
      <w:r>
        <w:rPr>
          <w:rFonts w:ascii="Calibri" w:cs="Calibri" w:eastAsia="Calibri" w:hAnsi="Calibri"/>
          <w:b/>
          <w:bCs/>
          <w:color w:val="1b2a4a"/>
        </w:rPr>
        <w:t xml:space="preserve">Appendix D — Descriptive Reason Text Entered in the Case # Field</w:t>
      </w:r>
    </w:p>
    <w:p>
      <w:pPr>
        <w:spacing w:after="160"/>
      </w:pPr>
      <w:r>
        <w:rPr>
          <w:rFonts w:ascii="Calibri" w:cs="Calibri" w:eastAsia="Calibri" w:hAnsi="Calibri"/>
          <w:i/>
          <w:iCs/>
          <w:color w:val="6b7280"/>
          <w:sz w:val="19"/>
          <w:szCs w:val="19"/>
        </w:rPr>
        <w:t xml:space="preserve">Complete list of all 27 searches in which the Case # field contains a bare descriptive word (e.g., "theft," "assault," "wanted") rather than a case number — indicating the reason for the search was entered into the case-number field. Times shown in America/New_York local time. Sorted by user, then by search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680"/>
        <w:gridCol w:w="2000"/>
        <w:gridCol w:w="1400"/>
      </w:tblGrid>
      <w:tr>
        <w:trPr>
          <w:tblHeader/>
        </w:trPr>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User</w:t>
            </w:r>
          </w:p>
        </w:tc>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Time (ET)</w:t>
            </w:r>
          </w:p>
        </w:tc>
        <w:tc>
          <w:tcPr>
            <w:tcW w:type="dxa" w:w="268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Offense Category</w:t>
            </w:r>
          </w:p>
        </w:tc>
        <w:tc>
          <w:tcPr>
            <w:tcW w:type="dxa" w:w="2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Case # Field (as entered)</w:t>
            </w:r>
          </w:p>
        </w:tc>
        <w:tc>
          <w:tcPr>
            <w:tcW w:type="dxa" w:w="14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Search Type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05/18/2026 03:37:18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05/21/2026 08:11:35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 (Domestic)</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aggravated 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08:13:24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 (Domestic)</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aggravated 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04:04:27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04:04:47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04:04:52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04:05:05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04:05:10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04:05:20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04:05:50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search</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04:05:56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04:06:04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Dontavis Jones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04:06:20 AM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theft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Emily Mattox</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05/11/2026 11:18:04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09:41:53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Pulaski</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09:43:59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Pulaski</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09:49:38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Pulaski</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04:11:10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05/25/2026 04:11:21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04:11:23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05/25/2026 04:11:26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04:11:33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05/25/2026 04:11:59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search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03:22:41 PM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03:25:16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 - Mobile</w:t>
            </w:r>
          </w:p>
        </w:tc>
      </w:tr>
      <w:tr>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09:18:13 AM ET</w:t>
            </w:r>
          </w:p>
        </w:tc>
        <w:tc>
          <w:tcPr>
            <w:tcW w:type="dxa" w:w="268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c>
          <w:tcPr>
            <w:tcW w:type="dxa" w:w="2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Jones county</w:t>
            </w:r>
          </w:p>
        </w:tc>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lookup</w:t>
            </w:r>
          </w:p>
        </w:tc>
      </w:tr>
      <w:tr>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MELANIE HOFMANN</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05/19/2026 12:30:00 PM ET</w:t>
            </w:r>
          </w:p>
        </w:tc>
        <w:tc>
          <w:tcPr>
            <w:tcW w:type="dxa" w:w="268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Indecent Exposure/Lewd</w:t>
            </w:r>
          </w:p>
        </w:tc>
        <w:tc>
          <w:tcPr>
            <w:tcW w:type="dxa" w:w="2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MGSU</w:t>
            </w:r>
          </w:p>
        </w:tc>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lookup</w:t>
            </w:r>
          </w:p>
        </w:tc>
      </w:tr>
    </w:tbl>
    <w:p>
      <w:r>
        <w:br w:type="page"/>
      </w:r>
    </w:p>
    <w:p>
      <w:pPr>
        <w:pStyle w:val="Heading1"/>
        <w:spacing w:after="200" w:before="420"/>
      </w:pPr>
      <w:r>
        <w:rPr>
          <w:rFonts w:ascii="Calibri" w:cs="Calibri" w:eastAsia="Calibri" w:hAnsi="Calibri"/>
          <w:b/>
          <w:bCs/>
          <w:color w:val="1b2a4a"/>
        </w:rPr>
        <w:t xml:space="preserve">Appendix E — Repeated Lookup ("Burst") Sessions, Full List</w:t>
      </w:r>
    </w:p>
    <w:p>
      <w:pPr>
        <w:spacing w:after="160"/>
      </w:pPr>
      <w:r>
        <w:rPr>
          <w:rFonts w:ascii="Calibri" w:cs="Calibri" w:eastAsia="Calibri" w:hAnsi="Calibri"/>
          <w:i/>
          <w:iCs/>
          <w:color w:val="6b7280"/>
          <w:sz w:val="19"/>
          <w:szCs w:val="19"/>
        </w:rPr>
        <w:t xml:space="preserve">All 71 sessions in which a single user performed 5 or more plate-lookup searches with ≤120 seconds between consecutive searches. Times shown in America/New_York local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800"/>
        <w:gridCol w:w="1700"/>
        <w:gridCol w:w="1700"/>
        <w:gridCol w:w="1000"/>
        <w:gridCol w:w="1740"/>
        <w:gridCol w:w="1740"/>
      </w:tblGrid>
      <w:tr>
        <w:trPr>
          <w:tblHeader/>
        </w:trPr>
        <w:tc>
          <w:tcPr>
            <w:tcW w:type="dxa" w:w="14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User</w:t>
            </w:r>
          </w:p>
        </w:tc>
        <w:tc>
          <w:tcPr>
            <w:tcW w:type="dxa" w:w="8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 Lookups</w:t>
            </w:r>
          </w:p>
        </w:tc>
        <w:tc>
          <w:tcPr>
            <w:tcW w:type="dxa" w:w="17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Start (ET)</w:t>
            </w:r>
          </w:p>
        </w:tc>
        <w:tc>
          <w:tcPr>
            <w:tcW w:type="dxa" w:w="17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End (ET)</w:t>
            </w:r>
          </w:p>
        </w:tc>
        <w:tc>
          <w:tcPr>
            <w:tcW w:type="dxa" w:w="100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Duration (min)</w:t>
            </w:r>
          </w:p>
        </w:tc>
        <w:tc>
          <w:tcPr>
            <w:tcW w:type="dxa" w:w="174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Case #(s) Referenced</w:t>
            </w:r>
          </w:p>
        </w:tc>
        <w:tc>
          <w:tcPr>
            <w:tcW w:type="dxa" w:w="1740"/>
            <w:tcBorders>
              <w:top w:val="single" w:color="C9CFDB" w:sz="2"/>
              <w:left w:val="single" w:color="C9CFDB" w:sz="2"/>
              <w:bottom w:val="single" w:color="C9CFDB" w:sz="2"/>
              <w:right w:val="single" w:color="C9CFDB" w:sz="2"/>
            </w:tcBorders>
            <w:shd w:fill="1b2a4a" w:val="clear"/>
            <w:tcMar>
              <w:top w:type="dxa" w:w="50"/>
              <w:left w:type="dxa" w:w="80"/>
              <w:bottom w:type="dxa" w:w="50"/>
              <w:right w:type="dxa" w:w="80"/>
            </w:tcMar>
            <w:vAlign w:val="center"/>
          </w:tcPr>
          <w:p>
            <w:r>
              <w:rPr>
                <w:rFonts w:ascii="Calibri" w:cs="Calibri" w:eastAsia="Calibri" w:hAnsi="Calibri"/>
                <w:b/>
                <w:bCs/>
                <w:color w:val="FFFFFF"/>
                <w:sz w:val="15"/>
                <w:szCs w:val="15"/>
              </w:rPr>
              <w:t xml:space="preserve">Offense Categor(ies)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128</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05/30/2026 10:19:30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05/30/2026 10:33:14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13.7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2026-41904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101</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07:09:09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07:34:30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25.4</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59</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05/30/2026 03:27:27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05/30/2026 03:43:49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16.4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2025-78977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 Cravey</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46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11:42:14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11:52:52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10.6</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25-9999</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41</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10:33:36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10:59:45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26.2</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39</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05/30/2026 03:12:27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05/30/2026 03:21:25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9</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2025-78977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33</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01:23:51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01:36:13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12.4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31</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10:02:33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10:19:13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16.7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29</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11:39:54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11:49:11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9.3</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 Homicide/Death Investigation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01:18:16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01:32:29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14.2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09:48:23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05/07/2026 10:00:29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12.1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05/12/2026 07:53:01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05/12/2026 08:01:41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8.7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Just occurred (lt bridger parttime)</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Robbery</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19</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11:12:40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11:28:44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16.1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D4-17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18</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05:13:07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05:18:46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5.6</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2026-43293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Stolen Property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06:57:12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05/15/2026 07:06:13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9</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FID11857613; FID1192341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11:42:35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11:54:23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11.8</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26-42165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13</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08:10:05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08:13:45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2026-45839</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Min Ha</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13</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04:25:20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05/06/2026 04:36:03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10.7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Destruction/Damage/Vandalism of Property</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Fred Gray</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11:20:41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05/31/2026 11:30:08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9.4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D4-17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Kasie Huston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10:50:56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10:52:56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23-066800</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Material Witness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11:11:16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05/21/2026 11:20:37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9.4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2026-44187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07:43:07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07:45:17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11</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09:47:58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09:56:17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8.3</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 GDC prison drop</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10</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07:33:39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05/02/2026 07:35:14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1.6</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9</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09:32:54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09:41:17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8.4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9</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10:06:17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05/27/2026 10:07:23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11968103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11:31:46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11:34:30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 Homicide/Death Investigation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04:26:53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05/29/2026 04:32:12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Justin Edwards</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03:12:57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03:15:32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2024-67104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Assault/Battery Offenses, Homicide/Death Investigation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03:30:56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03:32:39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2026-44898; 44898</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Stolen Property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02:17:36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02:25:24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7.8</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8</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05/12/2026 09:26:45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05/12/2026 09:28:12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1.4</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Dignitary threat (Capt Lebeuf)</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Terrorism/Terroristic Threats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7</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10:11:09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05/17/2026 10:15:38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4.5</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2026-999999 GDC prison drop</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7</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09:34:14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09:41:18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7.1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Thomas Crites</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05/12/2026 08:21:24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05/12/2026 08:27:33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6.2</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Dignitary Threat (capt lebeuf)</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Terrorism/Terroristic Threats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Josh Cravey</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11:32:31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11:35:30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25-9999</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05/16/2026 01:47:40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05/16/2026 01:49:28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1.8</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2026-42404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10:03:44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05/17/2026 10:07:02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2026-999999 GDC prison drop</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Alex Fletcher</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05/12/2026 09:42:51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05/12/2026 09:43:04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0.2</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2026-97888</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04:11:16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04:13:16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Charlee Gibson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02:59:32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02:59:42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0.2</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Weapons Offense (Guns/Shots Fired)</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02:04:57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02:06:50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1.9</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2026-44325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Joshua Benfield</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02:27:01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05/08/2026 02:32:24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08:59:17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09:00:15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2026-44325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09:13:09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09:17:36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4.4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Eric Pipkin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03:19:59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03:22:21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2.4</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Drugs/Narcotics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Jonathan Hubbard</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6</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10:47:30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10:48:08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0.6</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26</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Traffic Infraction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10:25:42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05/07/2026 10:31:33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5.8</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Adam Grant</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02:18:50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05/02/2026 02:22:43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3.9</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Alexis Robinson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10:10:31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05/04/2026 10:11:08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0.6</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 Robbery</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03:09:18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05/06/2026 03:10:59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Christian Erceg</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05/30/2026 05:15:47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05/30/2026 05:17:59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2026-43175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Curfew/Loitering/Vagrancy Violations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Cicero Goddard</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03:02:12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03:02:35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22CR80337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Material Witness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Courtney Wilder</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12:05:01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05/01/2026 12:05:35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0.6</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Missing/Endangered Person/Runaway</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Deborah Marberry</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01:50:03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01:51:25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2026-33434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Stolen Property Offenses</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George Witherspoon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04:11:10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05/25/2026 04:11:33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0.4</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Assault/Battery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01:07:05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05/29/2026 01:09:21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2.3</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07:36:49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05/15/2026 07:37:49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FID11857613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Enrique Hogan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09:00:44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05/28/2026 09:04:22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3.6</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FID  11295681</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Dina Shurley</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08:53:41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05/22/2026 08:54:55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2026-44295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Larceny/Theft Offenses</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Kirsten Davella</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05/19/2026 10:51:17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05/19/2026 10:51:42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2026-42853</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Robbery</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05:17:32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05/19/2026 05:18:42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1.2</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2026-00043293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John Kile</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11:31:45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05/05/2026 11:32:33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0.8</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Hit and Run/Car Accident</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07:47:33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05/28/2026 07:47:52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26-42333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Wanted Person (Arrest Warrant/Fugitive)</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10:18:57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05/10/2026 10:20:38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(none entered)</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Obstructing the Police (Fleeing/Eluding)</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Seth Vonderhuevel</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11:20:34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05/31/2026 11:25:41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5.1</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D4-17</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Toni Lewis</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05/24/2026 03:09:59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05/24/2026 03:12:42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2026-43293; 2026-44984</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Motor Vehicle Theft/Stolen</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05/20/2026 12:20:44 PM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05/20/2026 12:22:16 PM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1.5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2026-41143</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Financial Crime (Embezzlement/Fraud)</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05/14/2026 08:08:47 AM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05/14/2026 08:10:25 AM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1.6</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2026-17218</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Financial Crime (Embezzlement/Fraud)</w:t>
            </w:r>
          </w:p>
        </w:tc>
      </w:tr>
      <w:tr>
        <w:tc>
          <w:tcPr>
            <w:tcW w:type="dxa" w:w="14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08:40:50 AM ET</w:t>
            </w:r>
          </w:p>
        </w:tc>
        <w:tc>
          <w:tcPr>
            <w:tcW w:type="dxa" w:w="17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05/26/2026 08:44:18 AM ET</w:t>
            </w:r>
          </w:p>
        </w:tc>
        <w:tc>
          <w:tcPr>
            <w:tcW w:type="dxa" w:w="100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3.5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2026-44325</w:t>
            </w:r>
          </w:p>
        </w:tc>
        <w:tc>
          <w:tcPr>
            <w:tcW w:type="dxa" w:w="1740"/>
            <w:tcBorders>
              <w:top w:val="single" w:color="C9CFDB" w:sz="2"/>
              <w:left w:val="single" w:color="C9CFDB" w:sz="2"/>
              <w:bottom w:val="single" w:color="C9CFDB" w:sz="2"/>
              <w:right w:val="single" w:color="C9CFDB" w:sz="2"/>
            </w:tcBorders>
            <w:shd w:fill="F3F5F9" w:val="clear"/>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r>
      <w:tr>
        <w:tc>
          <w:tcPr>
            <w:tcW w:type="dxa" w:w="14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Wesley Durbin</w:t>
            </w:r>
          </w:p>
        </w:tc>
        <w:tc>
          <w:tcPr>
            <w:tcW w:type="dxa" w:w="8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5</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02:15:45 PM ET</w:t>
            </w:r>
          </w:p>
        </w:tc>
        <w:tc>
          <w:tcPr>
            <w:tcW w:type="dxa" w:w="17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05/26/2026 02:16:25 PM ET</w:t>
            </w:r>
          </w:p>
        </w:tc>
        <w:tc>
          <w:tcPr>
            <w:tcW w:type="dxa" w:w="100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0.7</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2026-44325</w:t>
            </w:r>
          </w:p>
        </w:tc>
        <w:tc>
          <w:tcPr>
            <w:tcW w:type="dxa" w:w="1740"/>
            <w:tcBorders>
              <w:top w:val="single" w:color="C9CFDB" w:sz="2"/>
              <w:left w:val="single" w:color="C9CFDB" w:sz="2"/>
              <w:bottom w:val="single" w:color="C9CFDB" w:sz="2"/>
              <w:right w:val="single" w:color="C9CFDB" w:sz="2"/>
            </w:tcBorders>
            <w:tcMar>
              <w:top w:type="dxa" w:w="40"/>
              <w:left w:type="dxa" w:w="80"/>
              <w:bottom w:type="dxa" w:w="40"/>
              <w:right w:type="dxa" w:w="80"/>
            </w:tcMar>
            <w:vAlign w:val="center"/>
          </w:tcPr>
          <w:p>
            <w:r>
              <w:rPr>
                <w:rFonts w:ascii="Calibri" w:cs="Calibri" w:eastAsia="Calibri" w:hAnsi="Calibri"/>
                <w:sz w:val="14"/>
                <w:szCs w:val="14"/>
              </w:rPr>
              <w:t xml:space="preserve">Burglary/Breaking &amp; Entering</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5"/>
        <w:szCs w:val="15"/>
      </w:rPr>
      <w:t xml:space="preserve">Page </w:t>
    </w:r>
    <w:r>
      <w:rPr>
        <w:rFonts w:ascii="Calibri" w:cs="Calibri" w:eastAsia="Calibri" w:hAnsi="Calibri"/>
        <w:color w:val="6b7280"/>
        <w:sz w:val="15"/>
        <w:szCs w:val="15"/>
      </w:rPr>
      <w:fldChar w:fldCharType="begin"/>
      <w:instrText xml:space="preserve">PAGE</w:instrText>
      <w:fldChar w:fldCharType="separate"/>
      <w:fldChar w:fldCharType="end"/>
    </w:r>
    <w:r>
      <w:rPr>
        <w:rFonts w:ascii="Calibri" w:cs="Calibri" w:eastAsia="Calibri" w:hAnsi="Calibri"/>
        <w:color w:val="6b7280"/>
        <w:sz w:val="15"/>
        <w:szCs w:val="15"/>
      </w:rPr>
      <w:t xml:space="preserve"> of </w:t>
    </w:r>
    <w:r>
      <w:rPr>
        <w:rFonts w:ascii="Calibri" w:cs="Calibri" w:eastAsia="Calibri" w:hAnsi="Calibri"/>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DB" w:sz="4"/>
      </w:pBdr>
      <w:tabs>
        <w:tab w:val="right" w:pos="10080"/>
      </w:tabs>
    </w:pPr>
    <w:r>
      <w:rPr>
        <w:rFonts w:ascii="Calibri" w:cs="Calibri" w:eastAsia="Calibri" w:hAnsi="Calibri"/>
        <w:color w:val="6b7280"/>
        <w:sz w:val="15"/>
        <w:szCs w:val="15"/>
      </w:rPr>
      <w:t xml:space="preserve">BCSO Flock ALPR Audit — Confidential</w:t>
    </w:r>
    <w:r>
      <w:rPr>
        <w:rFonts w:ascii="Calibri" w:cs="Calibri" w:eastAsia="Calibri" w:hAnsi="Calibri"/>
        <w:color w:val="6b7280"/>
        <w:sz w:val="15"/>
        <w:szCs w:val="15"/>
      </w:rPr>
      <w:t xml:space="preserve">	May 1 – June 1,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1b1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420"/>
    </w:pPr>
    <w:rPr>
      <w:rFonts w:ascii="Calibri" w:cs="Calibri" w:eastAsia="Calibri" w:hAnsi="Calibri"/>
      <w:b/>
      <w:bCs/>
      <w:color w:val="1b2a4a"/>
      <w:sz w:val="32"/>
      <w:szCs w:val="32"/>
    </w:rPr>
  </w:style>
  <w:style w:type="paragraph" w:styleId="Heading2">
    <w:name w:val="Heading 2"/>
    <w:basedOn w:val="Normal"/>
    <w:next w:val="Normal"/>
    <w:qFormat/>
    <w:pPr>
      <w:spacing w:after="160" w:before="300"/>
    </w:pPr>
    <w:rPr>
      <w:rFonts w:ascii="Calibri" w:cs="Calibri" w:eastAsia="Calibri" w:hAnsi="Calibri"/>
      <w:b/>
      <w:bCs/>
      <w:color w:val="1b2a4a"/>
      <w:sz w:val="26"/>
      <w:szCs w:val="26"/>
    </w:rPr>
  </w:style>
  <w:style w:type="paragraph" w:styleId="Heading3">
    <w:name w:val="Heading 3"/>
    <w:basedOn w:val="Normal"/>
    <w:next w:val="Normal"/>
    <w:qFormat/>
    <w:pPr>
      <w:spacing w:after="120" w:before="220"/>
    </w:pPr>
    <w:rPr>
      <w:rFonts w:ascii="Calibri" w:cs="Calibri" w:eastAsia="Calibri" w:hAnsi="Calibri"/>
      <w:b/>
      <w:bCs/>
      <w:color w:val="a4292c"/>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1b218e840187b0fd99a89a53d312776463a2b1.png"/><Relationship Id="rId10" Type="http://schemas.openxmlformats.org/officeDocument/2006/relationships/image" Target="media/239fe875b43d80f9f27153547a6fc18276a0c9a4.png"/><Relationship Id="rId11" Type="http://schemas.openxmlformats.org/officeDocument/2006/relationships/image" Target="media/5f74b2ec53e63cddb018ea1727ede17254d32823.png"/><Relationship Id="rId12" Type="http://schemas.openxmlformats.org/officeDocument/2006/relationships/image" Target="media/29e14b4155badd557fe65906f9a324dcd8efb6a3.png"/><Relationship Id="rId13" Type="http://schemas.openxmlformats.org/officeDocument/2006/relationships/image" Target="media/1643009fb8c1d43f3f339468c2622f77722e61ee.png"/><Relationship Id="rId14" Type="http://schemas.openxmlformats.org/officeDocument/2006/relationships/image" Target="media/d27e3e2a15d6860d5780f4646ce398de5ec33182.png"/><Relationship Id="rId15" Type="http://schemas.openxmlformats.org/officeDocument/2006/relationships/image" Target="media/c0d3a6a84380e96e202440d6a8305ffb565e769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2026-07-22T06:19:59.931Z</dcterms:created>
  <dcterms:modified xsi:type="dcterms:W3CDTF">2026-07-22T06:19:59.932Z</dcterms:modified>
</cp:coreProperties>
</file>

<file path=docProps/custom.xml><?xml version="1.0" encoding="utf-8"?>
<Properties xmlns="http://schemas.openxmlformats.org/officeDocument/2006/custom-properties" xmlns:vt="http://schemas.openxmlformats.org/officeDocument/2006/docPropsVTypes"/>
</file>